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FF5" w:rsidRDefault="00DE5FF5" w:rsidP="00DE5FF5">
      <w:pPr>
        <w:jc w:val="center"/>
        <w:rPr>
          <w:rFonts w:eastAsia="Times New Roman" w:cs="Arial"/>
          <w:b/>
          <w:u w:val="single"/>
          <w:lang w:val="en-CA"/>
        </w:rPr>
      </w:pPr>
      <w:bookmarkStart w:id="0" w:name="_GoBack"/>
      <w:bookmarkEnd w:id="0"/>
      <w:r w:rsidRPr="00F01841">
        <w:rPr>
          <w:rFonts w:eastAsia="Times New Roman" w:cs="Arial"/>
          <w:b/>
          <w:u w:val="single"/>
          <w:lang w:val="en-CA"/>
        </w:rPr>
        <w:t>MEMORANDUM OF UNDERSTANDING</w:t>
      </w:r>
    </w:p>
    <w:p w:rsidR="00F01841" w:rsidRPr="00F01841" w:rsidRDefault="00F01841" w:rsidP="00DE5FF5">
      <w:pPr>
        <w:jc w:val="center"/>
        <w:rPr>
          <w:rFonts w:eastAsia="Times New Roman" w:cs="Arial"/>
          <w:b/>
          <w:lang w:val="en-CA"/>
        </w:rPr>
      </w:pPr>
    </w:p>
    <w:p w:rsidR="00DE5FF5" w:rsidRPr="00F01841" w:rsidRDefault="00F01841" w:rsidP="00DE5FF5">
      <w:pPr>
        <w:jc w:val="center"/>
        <w:rPr>
          <w:rFonts w:eastAsia="Times New Roman" w:cs="Arial"/>
          <w:b/>
          <w:lang w:val="en-CA"/>
        </w:rPr>
      </w:pPr>
      <w:r>
        <w:rPr>
          <w:rFonts w:eastAsia="Times New Roman" w:cs="Arial"/>
          <w:b/>
          <w:lang w:val="en-CA"/>
        </w:rPr>
        <w:t>Between</w:t>
      </w:r>
    </w:p>
    <w:p w:rsidR="00DE5FF5" w:rsidRPr="00F01841" w:rsidRDefault="00DE5FF5" w:rsidP="00DE5FF5">
      <w:pPr>
        <w:jc w:val="center"/>
        <w:rPr>
          <w:rFonts w:eastAsia="Times New Roman" w:cs="Arial"/>
          <w:b/>
          <w:highlight w:val="yellow"/>
          <w:lang w:val="en-CA"/>
        </w:rPr>
      </w:pPr>
    </w:p>
    <w:p w:rsidR="00DE5FF5" w:rsidRPr="00F01841" w:rsidRDefault="00DE5FF5" w:rsidP="00DE5FF5">
      <w:pPr>
        <w:jc w:val="center"/>
        <w:outlineLvl w:val="0"/>
        <w:rPr>
          <w:rFonts w:eastAsia="Times New Roman" w:cs="Arial"/>
          <w:color w:val="000000"/>
        </w:rPr>
      </w:pPr>
      <w:r w:rsidRPr="00F01841">
        <w:rPr>
          <w:rFonts w:eastAsia="Times New Roman" w:cs="Arial"/>
          <w:b/>
          <w:color w:val="000000"/>
        </w:rPr>
        <w:t>NORTH YORK FAMILY HEALTH TEAM</w:t>
      </w:r>
    </w:p>
    <w:p w:rsidR="00DE5FF5" w:rsidRPr="00F01841" w:rsidRDefault="00DE5FF5" w:rsidP="00F01841">
      <w:pPr>
        <w:spacing w:after="120"/>
        <w:jc w:val="center"/>
        <w:outlineLvl w:val="0"/>
        <w:rPr>
          <w:rFonts w:eastAsia="Times New Roman" w:cs="Arial"/>
          <w:color w:val="000000"/>
        </w:rPr>
      </w:pPr>
      <w:r w:rsidRPr="00F01841">
        <w:rPr>
          <w:rFonts w:eastAsia="Times New Roman" w:cs="Arial"/>
          <w:color w:val="000000"/>
        </w:rPr>
        <w:t>(</w:t>
      </w:r>
      <w:r w:rsidRPr="00AB4A31">
        <w:rPr>
          <w:rFonts w:eastAsia="Times New Roman" w:cs="Arial"/>
          <w:color w:val="000000"/>
        </w:rPr>
        <w:t>herein</w:t>
      </w:r>
      <w:r w:rsidRPr="00F01841">
        <w:rPr>
          <w:rFonts w:eastAsia="Times New Roman" w:cs="Arial"/>
          <w:color w:val="000000"/>
        </w:rPr>
        <w:t xml:space="preserve"> referred to as” NYFHT”)</w:t>
      </w:r>
    </w:p>
    <w:p w:rsidR="00DE5FF5" w:rsidRPr="00F01841" w:rsidRDefault="00F01841" w:rsidP="00F01841">
      <w:pPr>
        <w:spacing w:after="120"/>
        <w:jc w:val="center"/>
        <w:outlineLvl w:val="0"/>
        <w:rPr>
          <w:rFonts w:eastAsia="Times New Roman" w:cs="Arial"/>
          <w:b/>
          <w:color w:val="000000"/>
          <w:lang w:val="en-CA"/>
        </w:rPr>
      </w:pPr>
      <w:r>
        <w:rPr>
          <w:rFonts w:eastAsia="Times New Roman" w:cs="Arial"/>
          <w:b/>
          <w:color w:val="000000"/>
          <w:lang w:val="en-CA"/>
        </w:rPr>
        <w:t>And</w:t>
      </w:r>
    </w:p>
    <w:p w:rsidR="00DE5FF5" w:rsidRPr="00F01841" w:rsidRDefault="00DE5FF5" w:rsidP="002E2578">
      <w:pPr>
        <w:jc w:val="center"/>
        <w:rPr>
          <w:rFonts w:eastAsia="Times New Roman" w:cs="Arial"/>
          <w:lang w:val="en-CA"/>
        </w:rPr>
      </w:pPr>
      <w:r w:rsidRPr="0005456E">
        <w:rPr>
          <w:rFonts w:eastAsia="Times New Roman" w:cs="Arial"/>
          <w:highlight w:val="yellow"/>
          <w:lang w:val="en-CA"/>
        </w:rPr>
        <w:t>____________________</w:t>
      </w:r>
      <w:r w:rsidRPr="00F01841">
        <w:rPr>
          <w:rFonts w:eastAsia="Times New Roman" w:cs="Arial"/>
          <w:lang w:val="en-CA"/>
        </w:rPr>
        <w:t xml:space="preserve"> </w:t>
      </w:r>
      <w:r w:rsidRPr="00F01841">
        <w:rPr>
          <w:rFonts w:eastAsia="Times New Roman" w:cs="Arial"/>
          <w:b/>
          <w:lang w:val="en-CA"/>
        </w:rPr>
        <w:t>FAMILY HEALTH ORGANIZATION</w:t>
      </w:r>
    </w:p>
    <w:p w:rsidR="00DE5FF5" w:rsidRPr="00F01841" w:rsidRDefault="0005456E" w:rsidP="00DE5FF5">
      <w:pPr>
        <w:jc w:val="center"/>
        <w:rPr>
          <w:rFonts w:eastAsia="Times New Roman" w:cs="Arial"/>
          <w:lang w:val="en-CA"/>
        </w:rPr>
      </w:pPr>
      <w:r>
        <w:rPr>
          <w:rFonts w:eastAsia="Times New Roman" w:cs="Arial"/>
          <w:lang w:val="en-CA"/>
        </w:rPr>
        <w:t>(herein referred to as</w:t>
      </w:r>
      <w:r w:rsidRPr="00D24165">
        <w:rPr>
          <w:rFonts w:eastAsia="Times New Roman" w:cs="Arial"/>
          <w:lang w:val="en-CA"/>
        </w:rPr>
        <w:t xml:space="preserve"> </w:t>
      </w:r>
      <w:r w:rsidR="00A8502E" w:rsidRPr="00D24165">
        <w:rPr>
          <w:rFonts w:eastAsia="Times New Roman" w:cs="Arial"/>
          <w:lang w:val="en-CA"/>
        </w:rPr>
        <w:t>the</w:t>
      </w:r>
      <w:r>
        <w:rPr>
          <w:rFonts w:eastAsia="Times New Roman" w:cs="Arial"/>
          <w:lang w:val="en-CA"/>
        </w:rPr>
        <w:t>“</w:t>
      </w:r>
      <w:r w:rsidR="00DE5FF5" w:rsidRPr="00F01841">
        <w:rPr>
          <w:rFonts w:eastAsia="Times New Roman" w:cs="Arial"/>
          <w:lang w:val="en-CA"/>
        </w:rPr>
        <w:t>FHO”)</w:t>
      </w:r>
    </w:p>
    <w:p w:rsidR="00DE5FF5" w:rsidRPr="00F01841" w:rsidRDefault="00DE5FF5" w:rsidP="00DE5FF5">
      <w:pPr>
        <w:jc w:val="both"/>
        <w:rPr>
          <w:rFonts w:eastAsia="Times New Roman" w:cs="Arial"/>
          <w:lang w:val="en-CA"/>
        </w:rPr>
      </w:pPr>
    </w:p>
    <w:p w:rsidR="00F01841" w:rsidRPr="00F01841" w:rsidRDefault="00F01841" w:rsidP="00F01841">
      <w:pPr>
        <w:spacing w:after="60"/>
        <w:rPr>
          <w:rFonts w:eastAsia="Times New Roman" w:cs="Arial"/>
          <w:b/>
          <w:u w:val="single"/>
          <w:lang w:val="en-CA"/>
        </w:rPr>
      </w:pPr>
      <w:r w:rsidRPr="00F01841">
        <w:rPr>
          <w:rFonts w:eastAsia="Times New Roman" w:cs="Arial"/>
          <w:b/>
          <w:u w:val="single"/>
          <w:lang w:val="en-CA"/>
        </w:rPr>
        <w:t>Background</w:t>
      </w:r>
    </w:p>
    <w:p w:rsidR="00DE5FF5" w:rsidRPr="00F01841" w:rsidRDefault="00F01841" w:rsidP="00F01841">
      <w:pPr>
        <w:pStyle w:val="ListParagraph"/>
        <w:numPr>
          <w:ilvl w:val="0"/>
          <w:numId w:val="8"/>
        </w:numPr>
        <w:spacing w:after="60"/>
        <w:ind w:left="714" w:hanging="357"/>
        <w:contextualSpacing w:val="0"/>
        <w:rPr>
          <w:rFonts w:eastAsia="Times New Roman" w:cs="Arial"/>
          <w:lang w:val="en-CA"/>
        </w:rPr>
      </w:pPr>
      <w:r w:rsidRPr="00F01841">
        <w:rPr>
          <w:rFonts w:eastAsia="Times New Roman" w:cs="Arial"/>
          <w:lang w:val="en-CA"/>
        </w:rPr>
        <w:t>There is an agreed need for effective coordination and collaboration between the NYFHT and the</w:t>
      </w:r>
      <w:r w:rsidR="006727C6">
        <w:rPr>
          <w:rFonts w:eastAsia="Times New Roman" w:cs="Arial"/>
          <w:lang w:val="en-CA"/>
        </w:rPr>
        <w:t xml:space="preserve"> </w:t>
      </w:r>
      <w:r w:rsidRPr="00F01841">
        <w:rPr>
          <w:rFonts w:eastAsia="Times New Roman" w:cs="Arial"/>
          <w:lang w:val="en-CA"/>
        </w:rPr>
        <w:t xml:space="preserve">FHO </w:t>
      </w:r>
      <w:r>
        <w:rPr>
          <w:rFonts w:eastAsia="Times New Roman" w:cs="Arial"/>
          <w:lang w:val="en-CA"/>
        </w:rPr>
        <w:t xml:space="preserve">in the collection, use, disclosure and retention of patient personal information and personal health information </w:t>
      </w:r>
      <w:r w:rsidR="00DE5FF5" w:rsidRPr="00F01841">
        <w:rPr>
          <w:rFonts w:eastAsia="Times New Roman" w:cs="Arial"/>
          <w:lang w:val="en-CA"/>
        </w:rPr>
        <w:t xml:space="preserve">for </w:t>
      </w:r>
      <w:r>
        <w:rPr>
          <w:rFonts w:eastAsia="Times New Roman" w:cs="Arial"/>
          <w:lang w:val="en-CA"/>
        </w:rPr>
        <w:t xml:space="preserve">the purposes of approved research, </w:t>
      </w:r>
      <w:r w:rsidR="00DE5FF5" w:rsidRPr="00F01841">
        <w:rPr>
          <w:rFonts w:eastAsia="Times New Roman" w:cs="Arial"/>
          <w:lang w:val="en-CA"/>
        </w:rPr>
        <w:t>quality improvement</w:t>
      </w:r>
      <w:r w:rsidRPr="00F01841">
        <w:rPr>
          <w:rFonts w:eastAsia="Times New Roman" w:cs="Arial"/>
          <w:lang w:val="en-CA"/>
        </w:rPr>
        <w:t xml:space="preserve">, </w:t>
      </w:r>
      <w:r>
        <w:rPr>
          <w:rFonts w:eastAsia="Times New Roman" w:cs="Arial"/>
          <w:lang w:val="en-CA"/>
        </w:rPr>
        <w:t>program planning, educating</w:t>
      </w:r>
      <w:r w:rsidRPr="00F01841">
        <w:rPr>
          <w:rFonts w:eastAsia="Times New Roman" w:cs="Arial"/>
          <w:lang w:val="en-CA"/>
        </w:rPr>
        <w:t xml:space="preserve"> trainees </w:t>
      </w:r>
      <w:r w:rsidR="00DE5FF5" w:rsidRPr="00F01841">
        <w:rPr>
          <w:rFonts w:eastAsia="Times New Roman" w:cs="Arial"/>
          <w:lang w:val="en-CA"/>
        </w:rPr>
        <w:t>and reporting to the Ministry</w:t>
      </w:r>
      <w:r w:rsidRPr="00F01841">
        <w:rPr>
          <w:rFonts w:eastAsia="Times New Roman" w:cs="Arial"/>
          <w:lang w:val="en-CA"/>
        </w:rPr>
        <w:t xml:space="preserve"> of Health &amp; Long Term Care. </w:t>
      </w:r>
    </w:p>
    <w:p w:rsidR="00F01841" w:rsidRDefault="005F37B0" w:rsidP="00F01841">
      <w:pPr>
        <w:pStyle w:val="ListParagraph"/>
        <w:numPr>
          <w:ilvl w:val="0"/>
          <w:numId w:val="8"/>
        </w:numPr>
        <w:spacing w:after="60"/>
        <w:ind w:left="714" w:hanging="357"/>
        <w:contextualSpacing w:val="0"/>
        <w:rPr>
          <w:rFonts w:eastAsia="Times New Roman" w:cs="Arial"/>
          <w:lang w:val="en-CA"/>
        </w:rPr>
      </w:pPr>
      <w:r>
        <w:rPr>
          <w:rFonts w:eastAsia="Times New Roman" w:cs="Arial"/>
          <w:lang w:val="en-CA"/>
        </w:rPr>
        <w:t xml:space="preserve">Physicians who are members of </w:t>
      </w:r>
      <w:r w:rsidR="00C52949" w:rsidRPr="00DB6347">
        <w:rPr>
          <w:rFonts w:eastAsia="Times New Roman" w:cs="Arial"/>
          <w:lang w:val="en-CA"/>
        </w:rPr>
        <w:t>the FHO</w:t>
      </w:r>
      <w:r w:rsidR="0005456E">
        <w:rPr>
          <w:rFonts w:eastAsia="Times New Roman" w:cs="Arial"/>
          <w:lang w:val="en-CA"/>
        </w:rPr>
        <w:t xml:space="preserve"> </w:t>
      </w:r>
      <w:r>
        <w:rPr>
          <w:rFonts w:eastAsia="Times New Roman" w:cs="Arial"/>
          <w:lang w:val="en-CA"/>
        </w:rPr>
        <w:t>are funded</w:t>
      </w:r>
      <w:r w:rsidR="00FD3CA0">
        <w:rPr>
          <w:rFonts w:eastAsia="Times New Roman" w:cs="Arial"/>
          <w:lang w:val="en-CA"/>
        </w:rPr>
        <w:t xml:space="preserve"> by the Ministry of Health &amp; Long Term Care to provide primary care services to </w:t>
      </w:r>
      <w:r w:rsidR="00D35DAD">
        <w:rPr>
          <w:rFonts w:eastAsia="Times New Roman" w:cs="Arial"/>
          <w:lang w:val="en-CA"/>
        </w:rPr>
        <w:t xml:space="preserve">their </w:t>
      </w:r>
      <w:r w:rsidR="00FD3CA0">
        <w:rPr>
          <w:rFonts w:eastAsia="Times New Roman" w:cs="Arial"/>
          <w:lang w:val="en-CA"/>
        </w:rPr>
        <w:t>patients</w:t>
      </w:r>
      <w:r>
        <w:rPr>
          <w:rFonts w:eastAsia="Times New Roman" w:cs="Arial"/>
          <w:lang w:val="en-CA"/>
        </w:rPr>
        <w:t>.</w:t>
      </w:r>
    </w:p>
    <w:p w:rsidR="005F37B0" w:rsidRDefault="005F37B0" w:rsidP="00F01841">
      <w:pPr>
        <w:pStyle w:val="ListParagraph"/>
        <w:numPr>
          <w:ilvl w:val="0"/>
          <w:numId w:val="8"/>
        </w:numPr>
        <w:spacing w:after="60"/>
        <w:ind w:left="714" w:hanging="357"/>
        <w:contextualSpacing w:val="0"/>
        <w:rPr>
          <w:rFonts w:eastAsia="Times New Roman" w:cs="Arial"/>
          <w:lang w:val="en-CA"/>
        </w:rPr>
      </w:pPr>
      <w:r>
        <w:rPr>
          <w:rFonts w:eastAsia="Times New Roman" w:cs="Arial"/>
          <w:lang w:val="en-CA"/>
        </w:rPr>
        <w:t>NYFHT receives funding by the Ministry of Health &amp; Long Term Care to p</w:t>
      </w:r>
      <w:r w:rsidR="0005456E">
        <w:rPr>
          <w:rFonts w:eastAsia="Times New Roman" w:cs="Arial"/>
          <w:lang w:val="en-CA"/>
        </w:rPr>
        <w:t xml:space="preserve">rovide support services to the </w:t>
      </w:r>
      <w:r>
        <w:rPr>
          <w:rFonts w:eastAsia="Times New Roman" w:cs="Arial"/>
          <w:lang w:val="en-CA"/>
        </w:rPr>
        <w:t>FHO, as well as fund allied services in support of the provision of primary care.</w:t>
      </w:r>
      <w:r w:rsidR="003400C9">
        <w:rPr>
          <w:rFonts w:eastAsia="Times New Roman" w:cs="Arial"/>
          <w:lang w:val="en-CA"/>
        </w:rPr>
        <w:t xml:space="preserve"> NYFHT is responsible for reporting health data to the Ministry, </w:t>
      </w:r>
      <w:r w:rsidR="00CD54D8">
        <w:rPr>
          <w:rFonts w:eastAsia="Times New Roman" w:cs="Arial"/>
          <w:lang w:val="en-CA"/>
        </w:rPr>
        <w:t>as part of its accountability for the use of past, current and future</w:t>
      </w:r>
      <w:r w:rsidR="003400C9">
        <w:rPr>
          <w:rFonts w:eastAsia="Times New Roman" w:cs="Arial"/>
          <w:lang w:val="en-CA"/>
        </w:rPr>
        <w:t xml:space="preserve"> funding.</w:t>
      </w:r>
    </w:p>
    <w:p w:rsidR="00FD6C10" w:rsidRPr="005F37B0" w:rsidRDefault="005F37B0" w:rsidP="005F37B0">
      <w:pPr>
        <w:pStyle w:val="ListParagraph"/>
        <w:numPr>
          <w:ilvl w:val="0"/>
          <w:numId w:val="8"/>
        </w:numPr>
        <w:spacing w:after="60"/>
        <w:ind w:left="714" w:hanging="357"/>
        <w:contextualSpacing w:val="0"/>
        <w:rPr>
          <w:rFonts w:eastAsia="Times New Roman" w:cs="Arial"/>
          <w:lang w:val="en-CA"/>
        </w:rPr>
      </w:pPr>
      <w:r>
        <w:rPr>
          <w:rFonts w:eastAsia="Times New Roman" w:cs="Arial"/>
          <w:lang w:val="en-CA"/>
        </w:rPr>
        <w:t>The</w:t>
      </w:r>
      <w:r w:rsidR="0005456E">
        <w:rPr>
          <w:rFonts w:eastAsia="Times New Roman" w:cs="Arial"/>
          <w:lang w:val="en-CA"/>
        </w:rPr>
        <w:t xml:space="preserve"> </w:t>
      </w:r>
      <w:r>
        <w:rPr>
          <w:rFonts w:eastAsia="Times New Roman" w:cs="Arial"/>
          <w:lang w:val="en-CA"/>
        </w:rPr>
        <w:t>FHO and NYFHT wish to enter into this Memorandum of Understanding (“MoU”) to set out principles for further collaboration and cooperation that facilitate the purposes set out in section 1, while safeguarding patient personal information and personal health information in accordance with applicable privacy legislation, including, but not limited to,</w:t>
      </w:r>
      <w:r w:rsidR="00DE5FF5" w:rsidRPr="005F37B0">
        <w:rPr>
          <w:rFonts w:eastAsia="Times New Roman" w:cs="Arial"/>
          <w:lang w:val="en-CA"/>
        </w:rPr>
        <w:t xml:space="preserve"> the </w:t>
      </w:r>
      <w:r w:rsidR="00DE5FF5" w:rsidRPr="005F37B0">
        <w:rPr>
          <w:rFonts w:eastAsia="Times New Roman" w:cs="Arial"/>
          <w:i/>
          <w:lang w:val="en-CA"/>
        </w:rPr>
        <w:t>Personal Health Information Protection Act, 2004</w:t>
      </w:r>
      <w:r w:rsidR="00DE5FF5" w:rsidRPr="005F37B0">
        <w:rPr>
          <w:rFonts w:eastAsia="Times New Roman" w:cs="Arial"/>
          <w:lang w:val="en-CA"/>
        </w:rPr>
        <w:t xml:space="preserve"> (Ontario) (“</w:t>
      </w:r>
      <w:r w:rsidR="00DE5FF5" w:rsidRPr="005F37B0">
        <w:rPr>
          <w:rFonts w:eastAsia="Times New Roman" w:cs="Arial"/>
          <w:i/>
          <w:lang w:val="en-CA"/>
        </w:rPr>
        <w:t>PHIPA</w:t>
      </w:r>
      <w:r w:rsidR="00DE5FF5" w:rsidRPr="005F37B0">
        <w:rPr>
          <w:rFonts w:eastAsia="Times New Roman" w:cs="Arial"/>
          <w:lang w:val="en-CA"/>
        </w:rPr>
        <w:t>”)</w:t>
      </w:r>
      <w:r>
        <w:rPr>
          <w:rFonts w:eastAsia="Times New Roman" w:cs="Arial"/>
          <w:lang w:val="en-CA"/>
        </w:rPr>
        <w:t>.</w:t>
      </w:r>
    </w:p>
    <w:p w:rsidR="009476E3" w:rsidRPr="00F01841" w:rsidRDefault="009476E3" w:rsidP="00DE5FF5">
      <w:pPr>
        <w:ind w:firstLine="720"/>
        <w:rPr>
          <w:rFonts w:eastAsia="Times New Roman" w:cs="Arial"/>
          <w:lang w:val="en-CA"/>
        </w:rPr>
      </w:pPr>
    </w:p>
    <w:p w:rsidR="00DE5FF5" w:rsidRPr="00F01841" w:rsidRDefault="00DE5FF5" w:rsidP="00DE5FF5">
      <w:pPr>
        <w:jc w:val="both"/>
        <w:rPr>
          <w:rFonts w:eastAsia="Times New Roman" w:cs="Arial"/>
          <w:lang w:val="en-CA"/>
        </w:rPr>
      </w:pPr>
      <w:r w:rsidRPr="005F37B0">
        <w:rPr>
          <w:rFonts w:eastAsia="Times New Roman" w:cs="Arial"/>
          <w:b/>
          <w:caps/>
          <w:lang w:val="en-CA"/>
        </w:rPr>
        <w:t>in consideration</w:t>
      </w:r>
      <w:r w:rsidRPr="00F01841">
        <w:rPr>
          <w:rFonts w:eastAsia="Times New Roman" w:cs="Arial"/>
          <w:lang w:val="en-CA"/>
        </w:rPr>
        <w:t xml:space="preserve"> of the mutual terms, covenants and conditions contained in</w:t>
      </w:r>
      <w:r w:rsidR="005F37B0">
        <w:rPr>
          <w:rFonts w:eastAsia="Times New Roman" w:cs="Arial"/>
          <w:lang w:val="en-CA"/>
        </w:rPr>
        <w:t xml:space="preserve"> this MoU</w:t>
      </w:r>
      <w:r w:rsidRPr="00F01841">
        <w:rPr>
          <w:rFonts w:eastAsia="Times New Roman" w:cs="Arial"/>
          <w:lang w:val="en-CA"/>
        </w:rPr>
        <w:t xml:space="preserve"> and other good and valuable consideration</w:t>
      </w:r>
      <w:r w:rsidR="005F37B0">
        <w:rPr>
          <w:rFonts w:eastAsia="Times New Roman" w:cs="Arial"/>
          <w:lang w:val="en-CA"/>
        </w:rPr>
        <w:t xml:space="preserve">, </w:t>
      </w:r>
      <w:r w:rsidRPr="00F01841">
        <w:rPr>
          <w:rFonts w:eastAsia="Times New Roman" w:cs="Arial"/>
          <w:lang w:val="en-CA"/>
        </w:rPr>
        <w:t>the receipt and suffic</w:t>
      </w:r>
      <w:r w:rsidR="005F37B0">
        <w:rPr>
          <w:rFonts w:eastAsia="Times New Roman" w:cs="Arial"/>
          <w:lang w:val="en-CA"/>
        </w:rPr>
        <w:t>iency of which are acknowledge</w:t>
      </w:r>
      <w:r w:rsidR="004F1D0A">
        <w:rPr>
          <w:rFonts w:eastAsia="Times New Roman" w:cs="Arial"/>
          <w:lang w:val="en-CA"/>
        </w:rPr>
        <w:t>d</w:t>
      </w:r>
      <w:r w:rsidR="005F37B0">
        <w:rPr>
          <w:rFonts w:eastAsia="Times New Roman" w:cs="Arial"/>
          <w:lang w:val="en-CA"/>
        </w:rPr>
        <w:t xml:space="preserve">, NYFHT and </w:t>
      </w:r>
      <w:r w:rsidR="007F40C8">
        <w:rPr>
          <w:rFonts w:eastAsia="Times New Roman" w:cs="Arial"/>
          <w:lang w:val="en-CA"/>
        </w:rPr>
        <w:t xml:space="preserve">the </w:t>
      </w:r>
      <w:r w:rsidR="005F37B0">
        <w:rPr>
          <w:rFonts w:eastAsia="Times New Roman" w:cs="Arial"/>
          <w:lang w:val="en-CA"/>
        </w:rPr>
        <w:t>FHO</w:t>
      </w:r>
      <w:r w:rsidRPr="00F01841">
        <w:rPr>
          <w:rFonts w:eastAsia="Times New Roman" w:cs="Arial"/>
          <w:lang w:val="en-CA"/>
        </w:rPr>
        <w:t xml:space="preserve"> agree as follows:</w:t>
      </w:r>
    </w:p>
    <w:p w:rsidR="00DE5FF5" w:rsidRPr="00F01841" w:rsidRDefault="00DE5FF5" w:rsidP="00DE5FF5">
      <w:pPr>
        <w:jc w:val="both"/>
        <w:rPr>
          <w:rFonts w:eastAsia="Times New Roman" w:cs="Arial"/>
          <w:lang w:val="en-CA"/>
        </w:rPr>
      </w:pPr>
    </w:p>
    <w:p w:rsidR="00945863" w:rsidRPr="00945863" w:rsidRDefault="005F37B0" w:rsidP="00945863">
      <w:pPr>
        <w:pStyle w:val="ListParagraph"/>
        <w:numPr>
          <w:ilvl w:val="0"/>
          <w:numId w:val="9"/>
        </w:numPr>
        <w:spacing w:after="60"/>
        <w:ind w:hanging="357"/>
        <w:contextualSpacing w:val="0"/>
        <w:jc w:val="both"/>
        <w:rPr>
          <w:rFonts w:eastAsia="Times New Roman" w:cs="Arial"/>
          <w:lang w:val="en-CA"/>
        </w:rPr>
      </w:pPr>
      <w:r>
        <w:rPr>
          <w:rFonts w:eastAsia="Times New Roman" w:cs="Arial"/>
          <w:b/>
          <w:lang w:val="en-CA"/>
        </w:rPr>
        <w:t>Use of patient records for Research</w:t>
      </w:r>
    </w:p>
    <w:p w:rsidR="00945863" w:rsidRDefault="005F37B0" w:rsidP="00945863">
      <w:pPr>
        <w:pStyle w:val="ListParagraph"/>
        <w:numPr>
          <w:ilvl w:val="1"/>
          <w:numId w:val="9"/>
        </w:numPr>
        <w:spacing w:after="60" w:line="276" w:lineRule="auto"/>
        <w:ind w:left="1134" w:hanging="357"/>
        <w:contextualSpacing w:val="0"/>
        <w:jc w:val="both"/>
        <w:rPr>
          <w:rFonts w:eastAsia="Times New Roman" w:cstheme="minorHAnsi"/>
        </w:rPr>
      </w:pPr>
      <w:r w:rsidRPr="00945863">
        <w:rPr>
          <w:rFonts w:eastAsia="Times New Roman" w:cstheme="minorHAnsi"/>
        </w:rPr>
        <w:t>Research using personal health information</w:t>
      </w:r>
      <w:r w:rsidR="0005456E">
        <w:rPr>
          <w:rFonts w:eastAsia="Times New Roman" w:cstheme="minorHAnsi"/>
        </w:rPr>
        <w:t xml:space="preserve"> from the</w:t>
      </w:r>
      <w:r w:rsidR="00945863">
        <w:rPr>
          <w:rFonts w:eastAsia="Times New Roman" w:cstheme="minorHAnsi"/>
        </w:rPr>
        <w:t xml:space="preserve"> FHO </w:t>
      </w:r>
      <w:r w:rsidRPr="00945863">
        <w:rPr>
          <w:rFonts w:eastAsia="Times New Roman" w:cstheme="minorHAnsi"/>
        </w:rPr>
        <w:t>EMR</w:t>
      </w:r>
      <w:r w:rsidR="00945863">
        <w:rPr>
          <w:rFonts w:eastAsia="Times New Roman" w:cstheme="minorHAnsi"/>
        </w:rPr>
        <w:t xml:space="preserve">(s) </w:t>
      </w:r>
      <w:r w:rsidRPr="00945863">
        <w:rPr>
          <w:rFonts w:eastAsia="Times New Roman" w:cstheme="minorHAnsi"/>
        </w:rPr>
        <w:t xml:space="preserve">may only be conducted with the approval of </w:t>
      </w:r>
      <w:r w:rsidR="00C15C24">
        <w:rPr>
          <w:rFonts w:eastAsia="Times New Roman" w:cstheme="minorHAnsi"/>
        </w:rPr>
        <w:t xml:space="preserve">a </w:t>
      </w:r>
      <w:r w:rsidRPr="00945863">
        <w:rPr>
          <w:rFonts w:eastAsia="Times New Roman" w:cstheme="minorHAnsi"/>
        </w:rPr>
        <w:t>Research Ethics Board (</w:t>
      </w:r>
      <w:r w:rsidR="00945863">
        <w:rPr>
          <w:rFonts w:eastAsia="Times New Roman" w:cstheme="minorHAnsi"/>
        </w:rPr>
        <w:t>“</w:t>
      </w:r>
      <w:r w:rsidRPr="00945863">
        <w:rPr>
          <w:rFonts w:eastAsia="Times New Roman" w:cstheme="minorHAnsi"/>
        </w:rPr>
        <w:t>REB</w:t>
      </w:r>
      <w:r w:rsidR="00945863">
        <w:rPr>
          <w:rFonts w:eastAsia="Times New Roman" w:cstheme="minorHAnsi"/>
        </w:rPr>
        <w:t>”</w:t>
      </w:r>
      <w:r w:rsidRPr="00945863">
        <w:rPr>
          <w:rFonts w:eastAsia="Times New Roman" w:cstheme="minorHAnsi"/>
        </w:rPr>
        <w:t>) a</w:t>
      </w:r>
      <w:r w:rsidR="00945863" w:rsidRPr="00945863">
        <w:rPr>
          <w:rFonts w:eastAsia="Times New Roman" w:cstheme="minorHAnsi"/>
        </w:rPr>
        <w:t>nd in accordance with</w:t>
      </w:r>
      <w:r w:rsidR="00C52949">
        <w:rPr>
          <w:rFonts w:eastAsia="Times New Roman" w:cstheme="minorHAnsi"/>
        </w:rPr>
        <w:t xml:space="preserve"> section</w:t>
      </w:r>
      <w:r w:rsidR="00945863" w:rsidRPr="00945863">
        <w:rPr>
          <w:rFonts w:eastAsia="Times New Roman" w:cstheme="minorHAnsi"/>
        </w:rPr>
        <w:t xml:space="preserve"> 44</w:t>
      </w:r>
      <w:r w:rsidRPr="00945863">
        <w:rPr>
          <w:rFonts w:eastAsia="Times New Roman" w:cstheme="minorHAnsi"/>
        </w:rPr>
        <w:t xml:space="preserve"> of </w:t>
      </w:r>
      <w:r w:rsidRPr="00945863">
        <w:rPr>
          <w:rFonts w:eastAsia="Times New Roman" w:cstheme="minorHAnsi"/>
          <w:i/>
        </w:rPr>
        <w:t>PHIPA</w:t>
      </w:r>
      <w:r w:rsidRPr="00945863">
        <w:rPr>
          <w:rFonts w:eastAsia="Times New Roman" w:cstheme="minorHAnsi"/>
        </w:rPr>
        <w:t>.</w:t>
      </w:r>
      <w:r w:rsidR="00945863">
        <w:rPr>
          <w:rFonts w:eastAsia="Times New Roman" w:cstheme="minorHAnsi"/>
        </w:rPr>
        <w:t xml:space="preserve"> </w:t>
      </w:r>
    </w:p>
    <w:p w:rsidR="006C4B55" w:rsidRDefault="00945863" w:rsidP="006C4B55">
      <w:pPr>
        <w:pStyle w:val="ListParagraph"/>
        <w:numPr>
          <w:ilvl w:val="1"/>
          <w:numId w:val="9"/>
        </w:numPr>
        <w:spacing w:after="60" w:line="276" w:lineRule="auto"/>
        <w:ind w:left="1134" w:hanging="357"/>
        <w:contextualSpacing w:val="0"/>
        <w:jc w:val="both"/>
        <w:rPr>
          <w:rFonts w:eastAsia="Times New Roman" w:cstheme="minorHAnsi"/>
        </w:rPr>
      </w:pPr>
      <w:r>
        <w:rPr>
          <w:rFonts w:eastAsia="Times New Roman" w:cstheme="minorHAnsi"/>
        </w:rPr>
        <w:t xml:space="preserve">Queries conducted using the Data Presentation Tool (“DPT”) will not require REB approval where the data does not collect, use or disclose identifiable patient personal and health information. REB approval will be sought when the DPT </w:t>
      </w:r>
      <w:r w:rsidR="0005456E">
        <w:rPr>
          <w:rFonts w:eastAsia="Times New Roman" w:cstheme="minorHAnsi"/>
        </w:rPr>
        <w:t>query</w:t>
      </w:r>
      <w:r>
        <w:rPr>
          <w:rFonts w:eastAsia="Times New Roman" w:cstheme="minorHAnsi"/>
        </w:rPr>
        <w:t xml:space="preserve"> requires the use of identifiable patient data or </w:t>
      </w:r>
      <w:r w:rsidR="002E1621">
        <w:rPr>
          <w:rFonts w:eastAsia="Times New Roman" w:cstheme="minorHAnsi"/>
        </w:rPr>
        <w:t xml:space="preserve">when it </w:t>
      </w:r>
      <w:r w:rsidR="006C4B55">
        <w:rPr>
          <w:rFonts w:eastAsia="Times New Roman" w:cstheme="minorHAnsi"/>
        </w:rPr>
        <w:t>may re-identif</w:t>
      </w:r>
      <w:r w:rsidR="0005456E">
        <w:rPr>
          <w:rFonts w:eastAsia="Times New Roman" w:cstheme="minorHAnsi"/>
        </w:rPr>
        <w:t xml:space="preserve">y </w:t>
      </w:r>
      <w:r w:rsidR="006C4B55">
        <w:rPr>
          <w:rFonts w:eastAsia="Times New Roman" w:cstheme="minorHAnsi"/>
        </w:rPr>
        <w:t xml:space="preserve">FHO </w:t>
      </w:r>
      <w:r>
        <w:rPr>
          <w:rFonts w:eastAsia="Times New Roman" w:cstheme="minorHAnsi"/>
        </w:rPr>
        <w:t>patient</w:t>
      </w:r>
      <w:r w:rsidR="006C4B55">
        <w:rPr>
          <w:rFonts w:eastAsia="Times New Roman" w:cstheme="minorHAnsi"/>
        </w:rPr>
        <w:t>s</w:t>
      </w:r>
      <w:r>
        <w:rPr>
          <w:rFonts w:eastAsia="Times New Roman" w:cstheme="minorHAnsi"/>
        </w:rPr>
        <w:t xml:space="preserve"> through linkage with other databases.</w:t>
      </w:r>
    </w:p>
    <w:p w:rsidR="006C4B55" w:rsidRDefault="00EF5FB7" w:rsidP="00A015DB">
      <w:pPr>
        <w:pStyle w:val="ListParagraph"/>
        <w:numPr>
          <w:ilvl w:val="1"/>
          <w:numId w:val="9"/>
        </w:numPr>
        <w:spacing w:after="240" w:line="276" w:lineRule="auto"/>
        <w:ind w:left="1134" w:hanging="357"/>
        <w:contextualSpacing w:val="0"/>
        <w:jc w:val="both"/>
        <w:rPr>
          <w:rFonts w:eastAsia="Times New Roman" w:cstheme="minorHAnsi"/>
        </w:rPr>
      </w:pPr>
      <w:r w:rsidRPr="00EF5FB7">
        <w:t xml:space="preserve">For clinical trials (which are expected very rarely), express consent will be obtained from patients who are invited to participate. Such consent will include informing the patients of the data that will be collected, the purposes for which their health data will be used, retained and / or disclosed, as well as the patient’s right to withhold consent pursuant to s. 18(5) of </w:t>
      </w:r>
      <w:r w:rsidRPr="00EF5FB7">
        <w:rPr>
          <w:i/>
          <w:iCs/>
        </w:rPr>
        <w:t>PHIPA.</w:t>
      </w:r>
      <w:r w:rsidRPr="00EF5FB7">
        <w:t xml:space="preserve"> </w:t>
      </w:r>
      <w:r w:rsidR="008B20BA">
        <w:rPr>
          <w:rFonts w:eastAsia="Times New Roman" w:cstheme="minorHAnsi"/>
        </w:rPr>
        <w:t>Notification of</w:t>
      </w:r>
      <w:r w:rsidR="006C4B55">
        <w:rPr>
          <w:rFonts w:eastAsia="Times New Roman" w:cstheme="minorHAnsi"/>
        </w:rPr>
        <w:t xml:space="preserve"> patients </w:t>
      </w:r>
      <w:r w:rsidR="006E76BB">
        <w:rPr>
          <w:rFonts w:eastAsia="Times New Roman" w:cstheme="minorHAnsi"/>
        </w:rPr>
        <w:lastRenderedPageBreak/>
        <w:t xml:space="preserve">that their health data is being used </w:t>
      </w:r>
      <w:r w:rsidR="008B20BA">
        <w:rPr>
          <w:rFonts w:eastAsia="Times New Roman" w:cstheme="minorHAnsi"/>
        </w:rPr>
        <w:t xml:space="preserve">or will be used </w:t>
      </w:r>
      <w:r w:rsidR="006E76BB">
        <w:rPr>
          <w:rFonts w:eastAsia="Times New Roman" w:cstheme="minorHAnsi"/>
        </w:rPr>
        <w:t xml:space="preserve">for purposes </w:t>
      </w:r>
      <w:r w:rsidR="008B20BA">
        <w:rPr>
          <w:rFonts w:eastAsia="Times New Roman" w:cstheme="minorHAnsi"/>
        </w:rPr>
        <w:t xml:space="preserve">where patient’s </w:t>
      </w:r>
      <w:r w:rsidR="006E76BB">
        <w:rPr>
          <w:rFonts w:eastAsia="Times New Roman" w:cstheme="minorHAnsi"/>
        </w:rPr>
        <w:t xml:space="preserve">implied consent </w:t>
      </w:r>
      <w:r w:rsidR="008B20BA">
        <w:rPr>
          <w:rFonts w:eastAsia="Times New Roman" w:cstheme="minorHAnsi"/>
        </w:rPr>
        <w:t xml:space="preserve">is permitted under </w:t>
      </w:r>
      <w:r w:rsidR="008B20BA">
        <w:rPr>
          <w:rFonts w:eastAsia="Times New Roman" w:cstheme="minorHAnsi"/>
          <w:i/>
        </w:rPr>
        <w:t xml:space="preserve">PHIPA </w:t>
      </w:r>
      <w:r w:rsidR="008B20BA">
        <w:rPr>
          <w:rFonts w:eastAsia="Times New Roman" w:cstheme="minorHAnsi"/>
        </w:rPr>
        <w:t>shall be prepared and posted in accordance with s. 16 of the Act</w:t>
      </w:r>
      <w:r w:rsidR="008B20BA">
        <w:rPr>
          <w:rFonts w:eastAsia="Times New Roman" w:cstheme="minorHAnsi"/>
          <w:i/>
        </w:rPr>
        <w:t xml:space="preserve">, </w:t>
      </w:r>
      <w:r w:rsidR="008B20BA">
        <w:rPr>
          <w:rFonts w:eastAsia="Times New Roman" w:cstheme="minorHAnsi"/>
        </w:rPr>
        <w:t xml:space="preserve">including the patient’s right to opt out of </w:t>
      </w:r>
      <w:r w:rsidR="006E76BB">
        <w:rPr>
          <w:rFonts w:eastAsia="Times New Roman" w:cstheme="minorHAnsi"/>
        </w:rPr>
        <w:t xml:space="preserve">patient data </w:t>
      </w:r>
      <w:r w:rsidR="008B20BA">
        <w:rPr>
          <w:rFonts w:eastAsia="Times New Roman" w:cstheme="minorHAnsi"/>
        </w:rPr>
        <w:t xml:space="preserve">being used </w:t>
      </w:r>
      <w:r w:rsidR="007910D8">
        <w:rPr>
          <w:rFonts w:eastAsia="Times New Roman" w:cstheme="minorHAnsi"/>
        </w:rPr>
        <w:t xml:space="preserve">for </w:t>
      </w:r>
      <w:r w:rsidR="008B20BA">
        <w:rPr>
          <w:rFonts w:eastAsia="Times New Roman" w:cstheme="minorHAnsi"/>
        </w:rPr>
        <w:t>such purposes including, but not limited to research</w:t>
      </w:r>
      <w:r w:rsidR="006E76BB">
        <w:rPr>
          <w:rFonts w:eastAsia="Times New Roman" w:cstheme="minorHAnsi"/>
          <w:i/>
        </w:rPr>
        <w:t>.</w:t>
      </w:r>
    </w:p>
    <w:p w:rsidR="008B20BA" w:rsidRPr="008B20BA" w:rsidRDefault="008B20BA" w:rsidP="008B20BA">
      <w:pPr>
        <w:pStyle w:val="ListParagraph"/>
        <w:numPr>
          <w:ilvl w:val="0"/>
          <w:numId w:val="9"/>
        </w:numPr>
        <w:spacing w:after="60" w:line="276" w:lineRule="auto"/>
        <w:contextualSpacing w:val="0"/>
        <w:jc w:val="both"/>
        <w:rPr>
          <w:rFonts w:eastAsia="Times New Roman" w:cstheme="minorHAnsi"/>
        </w:rPr>
      </w:pPr>
      <w:r>
        <w:rPr>
          <w:rFonts w:eastAsia="Times New Roman" w:cstheme="minorHAnsi"/>
          <w:b/>
        </w:rPr>
        <w:t>Use of Patient Records for Quality Improvement, Program Planning and Ministry of Health Reporting</w:t>
      </w:r>
    </w:p>
    <w:p w:rsidR="008B20BA" w:rsidRPr="008B20BA" w:rsidRDefault="00422C7D" w:rsidP="008B20BA">
      <w:pPr>
        <w:pStyle w:val="ListParagraph"/>
        <w:numPr>
          <w:ilvl w:val="1"/>
          <w:numId w:val="9"/>
        </w:numPr>
        <w:spacing w:after="60" w:line="276" w:lineRule="auto"/>
        <w:ind w:left="1434" w:hanging="357"/>
        <w:contextualSpacing w:val="0"/>
        <w:jc w:val="both"/>
        <w:rPr>
          <w:rFonts w:eastAsia="Times New Roman" w:cstheme="minorHAnsi"/>
        </w:rPr>
      </w:pPr>
      <w:r w:rsidRPr="008B20BA">
        <w:rPr>
          <w:rFonts w:ascii="Calibri" w:eastAsia="Times New Roman" w:hAnsi="Calibri" w:cs="Times New Roman"/>
        </w:rPr>
        <w:t>The NYFHT will only use personal health information collected</w:t>
      </w:r>
      <w:r w:rsidR="00741E95" w:rsidRPr="008B20BA">
        <w:rPr>
          <w:rFonts w:ascii="Calibri" w:eastAsia="Times New Roman" w:hAnsi="Calibri" w:cs="Times New Roman"/>
        </w:rPr>
        <w:t xml:space="preserve"> or compiled</w:t>
      </w:r>
      <w:r w:rsidRPr="008B20BA">
        <w:rPr>
          <w:rFonts w:ascii="Calibri" w:eastAsia="Times New Roman" w:hAnsi="Calibri" w:cs="Times New Roman"/>
        </w:rPr>
        <w:t xml:space="preserve"> under this Agreement for the </w:t>
      </w:r>
      <w:r w:rsidR="00741E95" w:rsidRPr="008B20BA">
        <w:rPr>
          <w:rFonts w:ascii="Calibri" w:eastAsia="Times New Roman" w:hAnsi="Calibri" w:cs="Times New Roman"/>
        </w:rPr>
        <w:t>purpose of meeting the goals and objectives set out in Article 1.0 or as required or permitted by law.</w:t>
      </w:r>
    </w:p>
    <w:p w:rsidR="00156F4E" w:rsidRPr="00156F4E" w:rsidRDefault="00DE5FF5" w:rsidP="00156F4E">
      <w:pPr>
        <w:pStyle w:val="ListParagraph"/>
        <w:numPr>
          <w:ilvl w:val="1"/>
          <w:numId w:val="9"/>
        </w:numPr>
        <w:spacing w:after="60" w:line="276" w:lineRule="auto"/>
        <w:ind w:left="1434" w:hanging="357"/>
        <w:contextualSpacing w:val="0"/>
        <w:jc w:val="both"/>
        <w:rPr>
          <w:rFonts w:eastAsia="Times New Roman" w:cstheme="minorHAnsi"/>
        </w:rPr>
      </w:pPr>
      <w:r w:rsidRPr="008B20BA">
        <w:rPr>
          <w:rFonts w:ascii="Calibri" w:eastAsia="Times New Roman" w:hAnsi="Calibri" w:cs="Times New Roman"/>
        </w:rPr>
        <w:t xml:space="preserve">The </w:t>
      </w:r>
      <w:r w:rsidR="00156F4E">
        <w:rPr>
          <w:rFonts w:ascii="Calibri" w:eastAsia="Times New Roman" w:hAnsi="Calibri" w:cs="Times New Roman"/>
        </w:rPr>
        <w:t xml:space="preserve">NYFHT </w:t>
      </w:r>
      <w:r w:rsidRPr="008B20BA">
        <w:rPr>
          <w:rFonts w:ascii="Calibri" w:eastAsia="Times New Roman" w:hAnsi="Calibri" w:cs="Times New Roman"/>
        </w:rPr>
        <w:t xml:space="preserve">Data Manager </w:t>
      </w:r>
      <w:r w:rsidR="0005456E">
        <w:rPr>
          <w:rFonts w:ascii="Calibri" w:eastAsia="Times New Roman" w:hAnsi="Calibri" w:cs="Times New Roman"/>
        </w:rPr>
        <w:t>will</w:t>
      </w:r>
      <w:r w:rsidRPr="008B20BA">
        <w:rPr>
          <w:rFonts w:ascii="Calibri" w:eastAsia="Times New Roman" w:hAnsi="Calibri" w:cs="Times New Roman"/>
        </w:rPr>
        <w:t xml:space="preserve"> be responsible for conducting queries for the purposes of quality improvement, service evaluation, program planning</w:t>
      </w:r>
      <w:r w:rsidR="00741E95" w:rsidRPr="008B20BA">
        <w:rPr>
          <w:rFonts w:ascii="Calibri" w:eastAsia="Times New Roman" w:hAnsi="Calibri" w:cs="Times New Roman"/>
        </w:rPr>
        <w:t xml:space="preserve"> </w:t>
      </w:r>
      <w:r w:rsidRPr="008B20BA">
        <w:rPr>
          <w:rFonts w:ascii="Calibri" w:eastAsia="Times New Roman" w:hAnsi="Calibri" w:cs="Times New Roman"/>
        </w:rPr>
        <w:t>and Ministry of Health reporting</w:t>
      </w:r>
      <w:r w:rsidR="00FD6C10" w:rsidRPr="008B20BA">
        <w:rPr>
          <w:rFonts w:ascii="Calibri" w:eastAsia="Times New Roman" w:hAnsi="Calibri" w:cs="Times New Roman"/>
        </w:rPr>
        <w:t>.</w:t>
      </w:r>
    </w:p>
    <w:p w:rsidR="00156F4E" w:rsidRPr="00156F4E" w:rsidRDefault="00DE5FF5" w:rsidP="00156F4E">
      <w:pPr>
        <w:pStyle w:val="ListParagraph"/>
        <w:numPr>
          <w:ilvl w:val="1"/>
          <w:numId w:val="9"/>
        </w:numPr>
        <w:spacing w:after="60" w:line="276" w:lineRule="auto"/>
        <w:ind w:left="1434" w:hanging="357"/>
        <w:contextualSpacing w:val="0"/>
        <w:jc w:val="both"/>
        <w:rPr>
          <w:rFonts w:eastAsia="Times New Roman" w:cstheme="minorHAnsi"/>
        </w:rPr>
      </w:pPr>
      <w:r w:rsidRPr="00156F4E">
        <w:rPr>
          <w:rFonts w:ascii="Calibri" w:eastAsia="Times New Roman" w:hAnsi="Calibri" w:cs="Times New Roman"/>
        </w:rPr>
        <w:t>Small queries directly in the E</w:t>
      </w:r>
      <w:r w:rsidR="00DE579C" w:rsidRPr="00156F4E">
        <w:rPr>
          <w:rFonts w:ascii="Calibri" w:eastAsia="Times New Roman" w:hAnsi="Calibri" w:cs="Times New Roman"/>
        </w:rPr>
        <w:t>lectronic Medical Record (E</w:t>
      </w:r>
      <w:r w:rsidRPr="00156F4E">
        <w:rPr>
          <w:rFonts w:ascii="Calibri" w:eastAsia="Times New Roman" w:hAnsi="Calibri" w:cs="Times New Roman"/>
        </w:rPr>
        <w:t>MR</w:t>
      </w:r>
      <w:r w:rsidR="00DE579C" w:rsidRPr="00156F4E">
        <w:rPr>
          <w:rFonts w:ascii="Calibri" w:eastAsia="Times New Roman" w:hAnsi="Calibri" w:cs="Times New Roman"/>
        </w:rPr>
        <w:t>)</w:t>
      </w:r>
      <w:r w:rsidRPr="00156F4E">
        <w:rPr>
          <w:rFonts w:ascii="Calibri" w:eastAsia="Times New Roman" w:hAnsi="Calibri" w:cs="Times New Roman"/>
        </w:rPr>
        <w:t xml:space="preserve"> may be run by the Data Manager at any time.</w:t>
      </w:r>
    </w:p>
    <w:p w:rsidR="00156F4E" w:rsidRPr="00156F4E" w:rsidRDefault="000936C2" w:rsidP="00156F4E">
      <w:pPr>
        <w:pStyle w:val="ListParagraph"/>
        <w:numPr>
          <w:ilvl w:val="1"/>
          <w:numId w:val="9"/>
        </w:numPr>
        <w:spacing w:after="60" w:line="276" w:lineRule="auto"/>
        <w:ind w:left="1434" w:hanging="357"/>
        <w:contextualSpacing w:val="0"/>
        <w:jc w:val="both"/>
        <w:rPr>
          <w:rFonts w:eastAsia="Times New Roman" w:cstheme="minorHAnsi"/>
        </w:rPr>
      </w:pPr>
      <w:r w:rsidRPr="00156F4E">
        <w:rPr>
          <w:rFonts w:ascii="Calibri" w:eastAsia="Times New Roman" w:hAnsi="Calibri" w:cs="Times New Roman"/>
        </w:rPr>
        <w:t xml:space="preserve">Large queries </w:t>
      </w:r>
      <w:r>
        <w:rPr>
          <w:rFonts w:ascii="Calibri" w:eastAsia="Times New Roman" w:hAnsi="Calibri" w:cs="Times New Roman"/>
        </w:rPr>
        <w:t>in</w:t>
      </w:r>
      <w:r w:rsidRPr="00156F4E">
        <w:rPr>
          <w:rFonts w:ascii="Calibri" w:eastAsia="Times New Roman" w:hAnsi="Calibri" w:cs="Times New Roman"/>
        </w:rPr>
        <w:t xml:space="preserve"> the EMR</w:t>
      </w:r>
      <w:r>
        <w:rPr>
          <w:rFonts w:ascii="Calibri" w:eastAsia="Times New Roman" w:hAnsi="Calibri" w:cs="Times New Roman"/>
        </w:rPr>
        <w:t xml:space="preserve"> may affect EMR performance because </w:t>
      </w:r>
      <w:r w:rsidR="00214039">
        <w:rPr>
          <w:rFonts w:ascii="Calibri" w:eastAsia="Times New Roman" w:hAnsi="Calibri" w:cs="Times New Roman"/>
        </w:rPr>
        <w:t>they can use significant</w:t>
      </w:r>
      <w:r>
        <w:rPr>
          <w:rFonts w:ascii="Calibri" w:eastAsia="Times New Roman" w:hAnsi="Calibri" w:cs="Times New Roman"/>
        </w:rPr>
        <w:t xml:space="preserve"> server resources.  Therefore, </w:t>
      </w:r>
      <w:r w:rsidR="00214039">
        <w:rPr>
          <w:rFonts w:ascii="Calibri" w:eastAsia="Times New Roman" w:hAnsi="Calibri" w:cs="Times New Roman"/>
        </w:rPr>
        <w:t xml:space="preserve">in order to avoid performance degradation during clinical hours while respecting the NYFHT Data Manager’s schedule, large </w:t>
      </w:r>
      <w:r>
        <w:rPr>
          <w:rFonts w:ascii="Calibri" w:eastAsia="Times New Roman" w:hAnsi="Calibri" w:cs="Times New Roman"/>
        </w:rPr>
        <w:t>queries</w:t>
      </w:r>
      <w:r w:rsidR="00214039">
        <w:rPr>
          <w:rFonts w:ascii="Calibri" w:eastAsia="Times New Roman" w:hAnsi="Calibri" w:cs="Times New Roman"/>
        </w:rPr>
        <w:t xml:space="preserve"> </w:t>
      </w:r>
      <w:r w:rsidRPr="00156F4E">
        <w:rPr>
          <w:rFonts w:ascii="Calibri" w:eastAsia="Times New Roman" w:hAnsi="Calibri" w:cs="Times New Roman"/>
        </w:rPr>
        <w:t>will be run between 7:30 a.m. and 8:30 a.m. on weekdays</w:t>
      </w:r>
      <w:r>
        <w:rPr>
          <w:rFonts w:ascii="Calibri" w:eastAsia="Times New Roman" w:hAnsi="Calibri" w:cs="Times New Roman"/>
        </w:rPr>
        <w:t>.</w:t>
      </w:r>
      <w:r w:rsidRPr="00156F4E">
        <w:rPr>
          <w:rFonts w:ascii="Calibri" w:eastAsia="Times New Roman" w:hAnsi="Calibri" w:cs="Times New Roman"/>
        </w:rPr>
        <w:t xml:space="preserve"> </w:t>
      </w:r>
      <w:r w:rsidR="00156F4E">
        <w:rPr>
          <w:rFonts w:ascii="Calibri" w:eastAsia="Times New Roman" w:hAnsi="Calibri" w:cs="Times New Roman"/>
        </w:rPr>
        <w:t xml:space="preserve">With </w:t>
      </w:r>
      <w:r w:rsidR="00A9369A">
        <w:rPr>
          <w:rFonts w:ascii="Calibri" w:eastAsia="Times New Roman" w:hAnsi="Calibri" w:cs="Times New Roman"/>
        </w:rPr>
        <w:t xml:space="preserve">the </w:t>
      </w:r>
      <w:r w:rsidR="00156F4E">
        <w:rPr>
          <w:rFonts w:ascii="Calibri" w:eastAsia="Times New Roman" w:hAnsi="Calibri" w:cs="Times New Roman"/>
        </w:rPr>
        <w:t>FHO physician</w:t>
      </w:r>
      <w:r w:rsidR="00214039">
        <w:rPr>
          <w:rFonts w:ascii="Calibri" w:eastAsia="Times New Roman" w:hAnsi="Calibri" w:cs="Times New Roman"/>
        </w:rPr>
        <w:t>s’</w:t>
      </w:r>
      <w:r w:rsidR="00156F4E">
        <w:rPr>
          <w:rFonts w:ascii="Calibri" w:eastAsia="Times New Roman" w:hAnsi="Calibri" w:cs="Times New Roman"/>
        </w:rPr>
        <w:t xml:space="preserve"> input, </w:t>
      </w:r>
      <w:r w:rsidR="0036666C" w:rsidRPr="00156F4E">
        <w:rPr>
          <w:rFonts w:ascii="Calibri" w:eastAsia="Times New Roman" w:hAnsi="Calibri" w:cs="Times New Roman"/>
        </w:rPr>
        <w:t xml:space="preserve">a </w:t>
      </w:r>
      <w:r w:rsidR="00156F4E">
        <w:rPr>
          <w:rFonts w:ascii="Calibri" w:eastAsia="Times New Roman" w:hAnsi="Calibri" w:cs="Times New Roman"/>
        </w:rPr>
        <w:t xml:space="preserve">threshold of what </w:t>
      </w:r>
      <w:r w:rsidR="0036666C" w:rsidRPr="00156F4E">
        <w:rPr>
          <w:rFonts w:ascii="Calibri" w:eastAsia="Times New Roman" w:hAnsi="Calibri" w:cs="Times New Roman"/>
        </w:rPr>
        <w:t>constitutes a query large enough to slow down the system</w:t>
      </w:r>
      <w:r w:rsidR="00156F4E">
        <w:rPr>
          <w:rFonts w:ascii="Calibri" w:eastAsia="Times New Roman" w:hAnsi="Calibri" w:cs="Times New Roman"/>
        </w:rPr>
        <w:t xml:space="preserve"> will be determined and,</w:t>
      </w:r>
      <w:r w:rsidR="005B2355" w:rsidRPr="00156F4E">
        <w:rPr>
          <w:rFonts w:ascii="Calibri" w:eastAsia="Times New Roman" w:hAnsi="Calibri" w:cs="Times New Roman"/>
        </w:rPr>
        <w:t xml:space="preserve"> thereafter</w:t>
      </w:r>
      <w:r w:rsidR="00156F4E">
        <w:rPr>
          <w:rFonts w:ascii="Calibri" w:eastAsia="Times New Roman" w:hAnsi="Calibri" w:cs="Times New Roman"/>
        </w:rPr>
        <w:t xml:space="preserve">, </w:t>
      </w:r>
      <w:r w:rsidR="005B2355" w:rsidRPr="00156F4E">
        <w:rPr>
          <w:rFonts w:ascii="Calibri" w:eastAsia="Times New Roman" w:hAnsi="Calibri" w:cs="Times New Roman"/>
        </w:rPr>
        <w:t xml:space="preserve">two weeks’ notice </w:t>
      </w:r>
      <w:r w:rsidR="00156F4E">
        <w:rPr>
          <w:rFonts w:ascii="Calibri" w:eastAsia="Times New Roman" w:hAnsi="Calibri" w:cs="Times New Roman"/>
        </w:rPr>
        <w:t xml:space="preserve">will be provided </w:t>
      </w:r>
      <w:r w:rsidR="00214039">
        <w:rPr>
          <w:rFonts w:ascii="Calibri" w:eastAsia="Times New Roman" w:hAnsi="Calibri" w:cs="Times New Roman"/>
        </w:rPr>
        <w:t xml:space="preserve">to FHO physicians </w:t>
      </w:r>
      <w:r w:rsidR="00C52949">
        <w:rPr>
          <w:rFonts w:ascii="Calibri" w:eastAsia="Times New Roman" w:hAnsi="Calibri" w:cs="Times New Roman"/>
        </w:rPr>
        <w:t>for</w:t>
      </w:r>
      <w:r w:rsidR="005B2355" w:rsidRPr="00156F4E">
        <w:rPr>
          <w:rFonts w:ascii="Calibri" w:eastAsia="Times New Roman" w:hAnsi="Calibri" w:cs="Times New Roman"/>
        </w:rPr>
        <w:t xml:space="preserve"> queries </w:t>
      </w:r>
      <w:r w:rsidR="00156F4E">
        <w:rPr>
          <w:rFonts w:ascii="Calibri" w:eastAsia="Times New Roman" w:hAnsi="Calibri" w:cs="Times New Roman"/>
        </w:rPr>
        <w:t xml:space="preserve">that are anticipated </w:t>
      </w:r>
      <w:r w:rsidR="00C52949">
        <w:rPr>
          <w:rFonts w:ascii="Calibri" w:eastAsia="Times New Roman" w:hAnsi="Calibri" w:cs="Times New Roman"/>
        </w:rPr>
        <w:t>to</w:t>
      </w:r>
      <w:r w:rsidR="00156F4E">
        <w:rPr>
          <w:rFonts w:ascii="Calibri" w:eastAsia="Times New Roman" w:hAnsi="Calibri" w:cs="Times New Roman"/>
        </w:rPr>
        <w:t xml:space="preserve"> </w:t>
      </w:r>
      <w:r w:rsidR="005B2355" w:rsidRPr="00156F4E">
        <w:rPr>
          <w:rFonts w:ascii="Calibri" w:eastAsia="Times New Roman" w:hAnsi="Calibri" w:cs="Times New Roman"/>
        </w:rPr>
        <w:t>meet or surpass this threshold.</w:t>
      </w:r>
      <w:r w:rsidR="00F37C4E" w:rsidRPr="00156F4E">
        <w:rPr>
          <w:rFonts w:ascii="Calibri" w:eastAsia="Times New Roman" w:hAnsi="Calibri" w:cs="Times New Roman"/>
        </w:rPr>
        <w:t xml:space="preserve"> </w:t>
      </w:r>
      <w:r w:rsidR="0036666C" w:rsidRPr="00156F4E">
        <w:rPr>
          <w:rFonts w:ascii="Calibri" w:eastAsia="Times New Roman" w:hAnsi="Calibri" w:cs="Times New Roman"/>
        </w:rPr>
        <w:t xml:space="preserve">  </w:t>
      </w:r>
    </w:p>
    <w:p w:rsidR="00156F4E" w:rsidRPr="00156F4E" w:rsidRDefault="00F37C4E" w:rsidP="00156F4E">
      <w:pPr>
        <w:pStyle w:val="ListParagraph"/>
        <w:numPr>
          <w:ilvl w:val="1"/>
          <w:numId w:val="9"/>
        </w:numPr>
        <w:spacing w:after="60" w:line="276" w:lineRule="auto"/>
        <w:ind w:left="1434" w:hanging="357"/>
        <w:contextualSpacing w:val="0"/>
        <w:jc w:val="both"/>
        <w:rPr>
          <w:rFonts w:eastAsia="Times New Roman" w:cstheme="minorHAnsi"/>
        </w:rPr>
      </w:pPr>
      <w:r w:rsidRPr="00156F4E">
        <w:rPr>
          <w:rFonts w:ascii="Calibri" w:eastAsia="Times New Roman" w:hAnsi="Calibri" w:cs="Times New Roman"/>
        </w:rPr>
        <w:t xml:space="preserve">The </w:t>
      </w:r>
      <w:r w:rsidR="00156F4E">
        <w:rPr>
          <w:rFonts w:ascii="Calibri" w:eastAsia="Times New Roman" w:hAnsi="Calibri" w:cs="Times New Roman"/>
        </w:rPr>
        <w:t xml:space="preserve">NYFHT </w:t>
      </w:r>
      <w:r w:rsidRPr="00156F4E">
        <w:rPr>
          <w:rFonts w:ascii="Calibri" w:eastAsia="Times New Roman" w:hAnsi="Calibri" w:cs="Times New Roman"/>
        </w:rPr>
        <w:t>Data Manager may run l</w:t>
      </w:r>
      <w:r w:rsidR="00DE5FF5" w:rsidRPr="00156F4E">
        <w:rPr>
          <w:rFonts w:ascii="Calibri" w:eastAsia="Times New Roman" w:hAnsi="Calibri" w:cs="Times New Roman"/>
        </w:rPr>
        <w:t>arge</w:t>
      </w:r>
      <w:r w:rsidRPr="00156F4E">
        <w:rPr>
          <w:rFonts w:ascii="Calibri" w:eastAsia="Times New Roman" w:hAnsi="Calibri" w:cs="Times New Roman"/>
        </w:rPr>
        <w:t xml:space="preserve"> queries through t</w:t>
      </w:r>
      <w:r w:rsidR="00DE5FF5" w:rsidRPr="00156F4E">
        <w:rPr>
          <w:rFonts w:ascii="Calibri" w:eastAsia="Times New Roman" w:hAnsi="Calibri" w:cs="Times New Roman"/>
        </w:rPr>
        <w:t xml:space="preserve">he </w:t>
      </w:r>
      <w:r w:rsidR="00156F4E">
        <w:rPr>
          <w:rFonts w:ascii="Calibri" w:eastAsia="Times New Roman" w:hAnsi="Calibri" w:cs="Times New Roman"/>
        </w:rPr>
        <w:t>DPT</w:t>
      </w:r>
      <w:r w:rsidR="00741E95" w:rsidRPr="00156F4E">
        <w:rPr>
          <w:rFonts w:ascii="Calibri" w:eastAsia="Times New Roman" w:hAnsi="Calibri" w:cs="Times New Roman"/>
        </w:rPr>
        <w:t xml:space="preserve"> </w:t>
      </w:r>
      <w:r w:rsidRPr="00156F4E">
        <w:rPr>
          <w:rFonts w:ascii="Calibri" w:eastAsia="Times New Roman" w:hAnsi="Calibri" w:cs="Times New Roman"/>
        </w:rPr>
        <w:t xml:space="preserve">at any time as </w:t>
      </w:r>
      <w:r w:rsidR="00156F4E">
        <w:rPr>
          <w:rFonts w:ascii="Calibri" w:eastAsia="Times New Roman" w:hAnsi="Calibri" w:cs="Times New Roman"/>
        </w:rPr>
        <w:t>such queries</w:t>
      </w:r>
      <w:r w:rsidRPr="00156F4E">
        <w:rPr>
          <w:rFonts w:ascii="Calibri" w:eastAsia="Times New Roman" w:hAnsi="Calibri" w:cs="Times New Roman"/>
        </w:rPr>
        <w:t xml:space="preserve"> are not run on the </w:t>
      </w:r>
      <w:r w:rsidR="00156F4E">
        <w:rPr>
          <w:rFonts w:ascii="Calibri" w:eastAsia="Times New Roman" w:hAnsi="Calibri" w:cs="Times New Roman"/>
        </w:rPr>
        <w:t xml:space="preserve">FHO </w:t>
      </w:r>
      <w:r w:rsidRPr="00156F4E">
        <w:rPr>
          <w:rFonts w:ascii="Calibri" w:eastAsia="Times New Roman" w:hAnsi="Calibri" w:cs="Times New Roman"/>
        </w:rPr>
        <w:t xml:space="preserve">EMR servers </w:t>
      </w:r>
      <w:r w:rsidR="00741E95" w:rsidRPr="00156F4E">
        <w:rPr>
          <w:rFonts w:ascii="Calibri" w:eastAsia="Times New Roman" w:hAnsi="Calibri" w:cs="Times New Roman"/>
        </w:rPr>
        <w:t xml:space="preserve">and </w:t>
      </w:r>
      <w:r w:rsidRPr="00156F4E">
        <w:rPr>
          <w:rFonts w:ascii="Calibri" w:eastAsia="Times New Roman" w:hAnsi="Calibri" w:cs="Times New Roman"/>
        </w:rPr>
        <w:t>will not affect EMR system operation</w:t>
      </w:r>
      <w:r w:rsidR="00DE5FF5" w:rsidRPr="00156F4E">
        <w:rPr>
          <w:rFonts w:ascii="Calibri" w:eastAsia="Times New Roman" w:hAnsi="Calibri" w:cs="Times New Roman"/>
        </w:rPr>
        <w:t>.</w:t>
      </w:r>
    </w:p>
    <w:p w:rsidR="00156F4E" w:rsidRPr="00156F4E" w:rsidRDefault="00DE5FF5" w:rsidP="00156F4E">
      <w:pPr>
        <w:pStyle w:val="ListParagraph"/>
        <w:numPr>
          <w:ilvl w:val="1"/>
          <w:numId w:val="9"/>
        </w:numPr>
        <w:spacing w:after="240" w:line="276" w:lineRule="auto"/>
        <w:ind w:left="1434" w:hanging="357"/>
        <w:contextualSpacing w:val="0"/>
        <w:jc w:val="both"/>
        <w:rPr>
          <w:rFonts w:eastAsia="Times New Roman" w:cstheme="minorHAnsi"/>
        </w:rPr>
      </w:pPr>
      <w:r w:rsidRPr="00156F4E">
        <w:rPr>
          <w:rFonts w:eastAsia="Times New Roman" w:cs="Arial"/>
          <w:lang w:val="en-CA"/>
        </w:rPr>
        <w:t xml:space="preserve">The </w:t>
      </w:r>
      <w:r w:rsidR="00481430" w:rsidRPr="00156F4E">
        <w:rPr>
          <w:rFonts w:eastAsia="Times New Roman" w:cs="Arial"/>
          <w:lang w:val="en-CA"/>
        </w:rPr>
        <w:t>NY</w:t>
      </w:r>
      <w:r w:rsidRPr="00156F4E">
        <w:rPr>
          <w:rFonts w:eastAsia="Times New Roman" w:cs="Arial"/>
          <w:lang w:val="en-CA"/>
        </w:rPr>
        <w:t xml:space="preserve">FHT </w:t>
      </w:r>
      <w:r w:rsidR="00481430" w:rsidRPr="00156F4E">
        <w:rPr>
          <w:rFonts w:eastAsia="Times New Roman" w:cs="Arial"/>
          <w:lang w:val="en-CA"/>
        </w:rPr>
        <w:t xml:space="preserve">shall </w:t>
      </w:r>
      <w:r w:rsidRPr="00156F4E">
        <w:rPr>
          <w:rFonts w:eastAsia="Times New Roman" w:cs="Arial"/>
          <w:lang w:val="en-CA"/>
        </w:rPr>
        <w:t>not provide physician-identified data to the Ministry of Health or to any other third party without specific physician permission</w:t>
      </w:r>
      <w:r w:rsidR="00481430" w:rsidRPr="00156F4E">
        <w:rPr>
          <w:rFonts w:eastAsia="Times New Roman" w:cs="Arial"/>
          <w:lang w:val="en-CA"/>
        </w:rPr>
        <w:t>.</w:t>
      </w:r>
    </w:p>
    <w:p w:rsidR="00156F4E" w:rsidRPr="00156F4E" w:rsidRDefault="00156F4E" w:rsidP="00156F4E">
      <w:pPr>
        <w:pStyle w:val="ListParagraph"/>
        <w:numPr>
          <w:ilvl w:val="0"/>
          <w:numId w:val="9"/>
        </w:numPr>
        <w:spacing w:after="60" w:line="276" w:lineRule="auto"/>
        <w:contextualSpacing w:val="0"/>
        <w:jc w:val="both"/>
        <w:rPr>
          <w:rFonts w:eastAsia="Times New Roman" w:cstheme="minorHAnsi"/>
        </w:rPr>
      </w:pPr>
      <w:r>
        <w:rPr>
          <w:rFonts w:eastAsia="Times New Roman" w:cstheme="minorHAnsi"/>
          <w:b/>
        </w:rPr>
        <w:t>Privacy and Information System Security</w:t>
      </w:r>
    </w:p>
    <w:p w:rsidR="007676A3" w:rsidRPr="007676A3" w:rsidRDefault="0005456E" w:rsidP="00156F4E">
      <w:pPr>
        <w:pStyle w:val="ListParagraph"/>
        <w:numPr>
          <w:ilvl w:val="1"/>
          <w:numId w:val="9"/>
        </w:numPr>
        <w:spacing w:after="60" w:line="276" w:lineRule="auto"/>
        <w:contextualSpacing w:val="0"/>
        <w:jc w:val="both"/>
        <w:rPr>
          <w:rFonts w:eastAsia="Times New Roman" w:cstheme="minorHAnsi"/>
        </w:rPr>
      </w:pPr>
      <w:r>
        <w:rPr>
          <w:rFonts w:eastAsia="Times New Roman" w:cstheme="minorHAnsi"/>
          <w:lang w:val="en-CA"/>
        </w:rPr>
        <w:t xml:space="preserve">NYFHT and </w:t>
      </w:r>
      <w:r w:rsidR="00143DE3">
        <w:rPr>
          <w:rFonts w:eastAsia="Times New Roman" w:cstheme="minorHAnsi"/>
          <w:lang w:val="en-CA"/>
        </w:rPr>
        <w:t xml:space="preserve">the </w:t>
      </w:r>
      <w:r w:rsidR="00156F4E">
        <w:rPr>
          <w:rFonts w:eastAsia="Times New Roman" w:cstheme="minorHAnsi"/>
          <w:lang w:val="en-CA"/>
        </w:rPr>
        <w:t xml:space="preserve">FHO </w:t>
      </w:r>
      <w:r w:rsidR="007676A3">
        <w:rPr>
          <w:rFonts w:eastAsia="Times New Roman" w:cstheme="minorHAnsi"/>
          <w:lang w:val="en-CA"/>
        </w:rPr>
        <w:t>each are</w:t>
      </w:r>
      <w:r w:rsidR="00DE5FF5" w:rsidRPr="00156F4E">
        <w:rPr>
          <w:rFonts w:eastAsia="Times New Roman" w:cstheme="minorHAnsi"/>
          <w:lang w:val="en-CA"/>
        </w:rPr>
        <w:t xml:space="preserve"> responsible for complying with any obligations </w:t>
      </w:r>
      <w:r w:rsidR="007676A3">
        <w:rPr>
          <w:rFonts w:eastAsia="Times New Roman" w:cstheme="minorHAnsi"/>
          <w:lang w:val="en-CA"/>
        </w:rPr>
        <w:t xml:space="preserve">to their respective handling of patient health information under </w:t>
      </w:r>
      <w:r w:rsidR="00DE5FF5" w:rsidRPr="007676A3">
        <w:rPr>
          <w:rFonts w:eastAsia="Times New Roman" w:cstheme="minorHAnsi"/>
          <w:i/>
          <w:lang w:val="en-CA"/>
        </w:rPr>
        <w:t>PHIPA</w:t>
      </w:r>
      <w:r w:rsidR="00DE5FF5" w:rsidRPr="00156F4E">
        <w:rPr>
          <w:rFonts w:eastAsia="Times New Roman" w:cstheme="minorHAnsi"/>
          <w:lang w:val="en-CA"/>
        </w:rPr>
        <w:t xml:space="preserve">.  </w:t>
      </w:r>
    </w:p>
    <w:p w:rsidR="007676A3" w:rsidRPr="007676A3" w:rsidRDefault="007676A3" w:rsidP="00156F4E">
      <w:pPr>
        <w:pStyle w:val="ListParagraph"/>
        <w:numPr>
          <w:ilvl w:val="1"/>
          <w:numId w:val="9"/>
        </w:numPr>
        <w:spacing w:after="60" w:line="276" w:lineRule="auto"/>
        <w:contextualSpacing w:val="0"/>
        <w:jc w:val="both"/>
        <w:rPr>
          <w:rFonts w:eastAsia="Times New Roman" w:cstheme="minorHAnsi"/>
        </w:rPr>
      </w:pPr>
      <w:r>
        <w:rPr>
          <w:rFonts w:eastAsia="Times New Roman" w:cstheme="minorHAnsi"/>
        </w:rPr>
        <w:t>NYFHT a</w:t>
      </w:r>
      <w:r w:rsidR="0005456E">
        <w:rPr>
          <w:rFonts w:eastAsia="Times New Roman" w:cstheme="minorHAnsi"/>
        </w:rPr>
        <w:t xml:space="preserve">nd </w:t>
      </w:r>
      <w:r w:rsidR="00143DE3">
        <w:rPr>
          <w:rFonts w:eastAsia="Times New Roman" w:cstheme="minorHAnsi"/>
        </w:rPr>
        <w:t xml:space="preserve">the </w:t>
      </w:r>
      <w:r>
        <w:rPr>
          <w:rFonts w:eastAsia="Times New Roman" w:cstheme="minorHAnsi"/>
        </w:rPr>
        <w:t>FHO each are responsible for the creation and implementation of policies and procedures that safeguard personal health information under their custody and control from unauthorized or unlawful collection, use, retention or disclosure. This responsibility includes ensuring sufficient and on-going training of staff responsible for compliance with these policies and procedures.</w:t>
      </w:r>
    </w:p>
    <w:p w:rsidR="00DE5FF5" w:rsidRPr="00717966" w:rsidRDefault="007676A3" w:rsidP="00717966">
      <w:pPr>
        <w:pStyle w:val="ListParagraph"/>
        <w:numPr>
          <w:ilvl w:val="1"/>
          <w:numId w:val="9"/>
        </w:numPr>
        <w:spacing w:after="240" w:line="276" w:lineRule="auto"/>
        <w:ind w:left="1434" w:hanging="357"/>
        <w:contextualSpacing w:val="0"/>
        <w:jc w:val="both"/>
        <w:rPr>
          <w:rFonts w:eastAsia="Times New Roman" w:cstheme="minorHAnsi"/>
        </w:rPr>
      </w:pPr>
      <w:r>
        <w:rPr>
          <w:rFonts w:eastAsia="Times New Roman" w:cstheme="minorHAnsi"/>
          <w:lang w:val="en-CA"/>
        </w:rPr>
        <w:t xml:space="preserve">NYFHT and </w:t>
      </w:r>
      <w:r w:rsidR="00143DE3">
        <w:rPr>
          <w:rFonts w:eastAsia="Times New Roman" w:cstheme="minorHAnsi"/>
          <w:lang w:val="en-CA"/>
        </w:rPr>
        <w:t xml:space="preserve">the </w:t>
      </w:r>
      <w:r>
        <w:rPr>
          <w:rFonts w:eastAsia="Times New Roman" w:cstheme="minorHAnsi"/>
          <w:lang w:val="en-CA"/>
        </w:rPr>
        <w:t xml:space="preserve">FHO each are responsible for implementing organizational, technological and physical safeguards to protect patient personal health information from unauthorized or unlawful collection, use, retention or disclosure, including, but not limited to, ensuring contractual safeguards with any third parties who either directly or indirectly have access to patient records that are at least as stringent as NYFHT or </w:t>
      </w:r>
      <w:r w:rsidR="00C8223F">
        <w:rPr>
          <w:rFonts w:eastAsia="Times New Roman" w:cstheme="minorHAnsi"/>
          <w:lang w:val="en-CA"/>
        </w:rPr>
        <w:t xml:space="preserve">the </w:t>
      </w:r>
      <w:r>
        <w:rPr>
          <w:rFonts w:eastAsia="Times New Roman" w:cstheme="minorHAnsi"/>
          <w:lang w:val="en-CA"/>
        </w:rPr>
        <w:t xml:space="preserve">FHO privacy and information system security policies, as the case may be.  Such terms should include NYFHT or FHO rights to </w:t>
      </w:r>
      <w:r>
        <w:rPr>
          <w:rFonts w:eastAsia="Times New Roman" w:cstheme="minorHAnsi"/>
          <w:lang w:val="en-CA"/>
        </w:rPr>
        <w:lastRenderedPageBreak/>
        <w:t>si</w:t>
      </w:r>
      <w:r w:rsidR="00C8223F">
        <w:rPr>
          <w:rFonts w:eastAsia="Times New Roman" w:cstheme="minorHAnsi"/>
          <w:lang w:val="en-CA"/>
        </w:rPr>
        <w:t>te</w:t>
      </w:r>
      <w:r>
        <w:rPr>
          <w:rFonts w:eastAsia="Times New Roman" w:cstheme="minorHAnsi"/>
          <w:lang w:val="en-CA"/>
        </w:rPr>
        <w:t xml:space="preserve"> inspections to ensure the third party is carrying out sufficient safeguards in the handling of patient data, and indemnify the NYFHT or FHO, as the case may be, for breaches in such security measures as a result of the negligence, misconduct or breach of the third party agreement by the third party or its employees or agents.</w:t>
      </w:r>
    </w:p>
    <w:p w:rsidR="00DE5FF5" w:rsidRPr="00717966" w:rsidRDefault="00717966" w:rsidP="00DE5FF5">
      <w:pPr>
        <w:pStyle w:val="ListParagraph"/>
        <w:numPr>
          <w:ilvl w:val="0"/>
          <w:numId w:val="9"/>
        </w:numPr>
        <w:spacing w:after="60" w:line="276" w:lineRule="auto"/>
        <w:contextualSpacing w:val="0"/>
        <w:jc w:val="both"/>
        <w:rPr>
          <w:rFonts w:eastAsia="Times New Roman" w:cstheme="minorHAnsi"/>
        </w:rPr>
      </w:pPr>
      <w:r>
        <w:rPr>
          <w:rFonts w:eastAsia="Times New Roman" w:cstheme="minorHAnsi"/>
          <w:b/>
          <w:lang w:val="en-CA"/>
        </w:rPr>
        <w:t>Coordination of Data Flow and Use</w:t>
      </w:r>
    </w:p>
    <w:p w:rsidR="00717966" w:rsidRPr="00717966" w:rsidRDefault="00717966" w:rsidP="00717966">
      <w:pPr>
        <w:spacing w:after="240" w:line="276" w:lineRule="auto"/>
        <w:ind w:left="709"/>
        <w:jc w:val="both"/>
        <w:rPr>
          <w:rFonts w:eastAsia="Times New Roman" w:cstheme="minorHAnsi"/>
        </w:rPr>
      </w:pPr>
      <w:r w:rsidRPr="00717966">
        <w:rPr>
          <w:rFonts w:eastAsia="Times New Roman" w:cstheme="minorHAnsi"/>
          <w:lang w:val="en-CA"/>
        </w:rPr>
        <w:t xml:space="preserve">NYFHT and </w:t>
      </w:r>
      <w:r w:rsidR="00F3382B">
        <w:rPr>
          <w:rFonts w:eastAsia="Times New Roman" w:cstheme="minorHAnsi"/>
          <w:lang w:val="en-CA"/>
        </w:rPr>
        <w:t xml:space="preserve">the </w:t>
      </w:r>
      <w:r w:rsidRPr="00717966">
        <w:rPr>
          <w:rFonts w:eastAsia="Times New Roman" w:cstheme="minorHAnsi"/>
          <w:lang w:val="en-CA"/>
        </w:rPr>
        <w:t>FHO will from time to time consult on potential ways to improve efficiency and coordination in the use of and reporting on patient data for the purposes set out in this MoU.</w:t>
      </w:r>
    </w:p>
    <w:p w:rsidR="00717966" w:rsidRPr="00717966" w:rsidRDefault="00717966" w:rsidP="00717966">
      <w:pPr>
        <w:pStyle w:val="ListParagraph"/>
        <w:numPr>
          <w:ilvl w:val="0"/>
          <w:numId w:val="9"/>
        </w:numPr>
        <w:spacing w:after="60" w:line="276" w:lineRule="auto"/>
        <w:contextualSpacing w:val="0"/>
        <w:jc w:val="both"/>
        <w:rPr>
          <w:rFonts w:eastAsia="Times New Roman" w:cstheme="minorHAnsi"/>
        </w:rPr>
      </w:pPr>
      <w:r>
        <w:rPr>
          <w:rFonts w:eastAsia="Times New Roman" w:cstheme="minorHAnsi"/>
          <w:b/>
          <w:lang w:val="en-CA"/>
        </w:rPr>
        <w:t>Publication</w:t>
      </w:r>
    </w:p>
    <w:p w:rsidR="00DE5FF5" w:rsidRPr="00717966" w:rsidRDefault="00C64D1E" w:rsidP="00717966">
      <w:pPr>
        <w:spacing w:after="60" w:line="276" w:lineRule="auto"/>
        <w:ind w:left="709"/>
        <w:jc w:val="both"/>
        <w:rPr>
          <w:rFonts w:eastAsia="Times New Roman" w:cstheme="minorHAnsi"/>
        </w:rPr>
      </w:pPr>
      <w:r>
        <w:rPr>
          <w:rFonts w:eastAsia="Times New Roman" w:cstheme="minorHAnsi"/>
          <w:lang w:val="en-CA"/>
        </w:rPr>
        <w:t xml:space="preserve">NYFHT and </w:t>
      </w:r>
      <w:r w:rsidR="00F4379A">
        <w:rPr>
          <w:rFonts w:eastAsia="Times New Roman" w:cstheme="minorHAnsi"/>
          <w:lang w:val="en-CA"/>
        </w:rPr>
        <w:t xml:space="preserve">the </w:t>
      </w:r>
      <w:r>
        <w:rPr>
          <w:rFonts w:eastAsia="Times New Roman" w:cstheme="minorHAnsi"/>
          <w:lang w:val="en-CA"/>
        </w:rPr>
        <w:t>FHO agree that NYFHT will be responsible for coordination of key messages, authorship credit for use of results in articles and presentations and setting limitations on data use for such purposes if necessary.</w:t>
      </w:r>
    </w:p>
    <w:p w:rsidR="00717966" w:rsidRPr="00717966" w:rsidRDefault="00717966" w:rsidP="00717966">
      <w:pPr>
        <w:pStyle w:val="ListParagraph"/>
        <w:numPr>
          <w:ilvl w:val="0"/>
          <w:numId w:val="9"/>
        </w:numPr>
        <w:spacing w:after="60" w:line="276" w:lineRule="auto"/>
        <w:contextualSpacing w:val="0"/>
        <w:jc w:val="both"/>
        <w:rPr>
          <w:rFonts w:eastAsia="Times New Roman" w:cstheme="minorHAnsi"/>
        </w:rPr>
      </w:pPr>
      <w:r>
        <w:rPr>
          <w:rFonts w:eastAsia="Times New Roman" w:cstheme="minorHAnsi"/>
          <w:b/>
          <w:lang w:val="en-CA"/>
        </w:rPr>
        <w:t>Term</w:t>
      </w:r>
    </w:p>
    <w:p w:rsidR="00717966" w:rsidRDefault="00717966" w:rsidP="006E3356">
      <w:pPr>
        <w:spacing w:after="240" w:line="276" w:lineRule="auto"/>
        <w:ind w:left="709"/>
        <w:jc w:val="both"/>
        <w:rPr>
          <w:rFonts w:eastAsia="Times New Roman" w:cstheme="minorHAnsi"/>
          <w:lang w:val="en-CA"/>
        </w:rPr>
      </w:pPr>
      <w:r w:rsidRPr="00717966">
        <w:rPr>
          <w:rFonts w:eastAsia="Times New Roman" w:cstheme="minorHAnsi"/>
          <w:lang w:val="en-CA"/>
        </w:rPr>
        <w:t>The M</w:t>
      </w:r>
      <w:r>
        <w:rPr>
          <w:rFonts w:eastAsia="Times New Roman" w:cstheme="minorHAnsi"/>
          <w:lang w:val="en-CA"/>
        </w:rPr>
        <w:t>oU will take effect upon the date of the last signature to this MoU by the parties and will re</w:t>
      </w:r>
      <w:r w:rsidR="0005456E">
        <w:rPr>
          <w:rFonts w:eastAsia="Times New Roman" w:cstheme="minorHAnsi"/>
          <w:lang w:val="en-CA"/>
        </w:rPr>
        <w:t>main in effect for a period of [</w:t>
      </w:r>
      <w:r w:rsidRPr="0005456E">
        <w:rPr>
          <w:rFonts w:eastAsia="Times New Roman" w:cstheme="minorHAnsi"/>
          <w:highlight w:val="yellow"/>
          <w:lang w:val="en-CA"/>
        </w:rPr>
        <w:t>insert the number of years</w:t>
      </w:r>
      <w:r w:rsidR="0005456E">
        <w:rPr>
          <w:rFonts w:eastAsia="Times New Roman" w:cstheme="minorHAnsi"/>
          <w:lang w:val="en-CA"/>
        </w:rPr>
        <w:t>]</w:t>
      </w:r>
      <w:r>
        <w:rPr>
          <w:rFonts w:eastAsia="Times New Roman" w:cstheme="minorHAnsi"/>
          <w:lang w:val="en-CA"/>
        </w:rPr>
        <w:t>, subject to earlier termination as provided for below.</w:t>
      </w:r>
    </w:p>
    <w:p w:rsidR="00717966" w:rsidRPr="00717966" w:rsidRDefault="00717966" w:rsidP="00717966">
      <w:pPr>
        <w:pStyle w:val="ListParagraph"/>
        <w:numPr>
          <w:ilvl w:val="0"/>
          <w:numId w:val="9"/>
        </w:numPr>
        <w:spacing w:after="60" w:line="276" w:lineRule="auto"/>
        <w:jc w:val="both"/>
        <w:rPr>
          <w:rFonts w:eastAsia="Times New Roman" w:cstheme="minorHAnsi"/>
        </w:rPr>
      </w:pPr>
      <w:r>
        <w:rPr>
          <w:rFonts w:eastAsia="Times New Roman" w:cstheme="minorHAnsi"/>
          <w:b/>
        </w:rPr>
        <w:t>Termination and Notice</w:t>
      </w:r>
    </w:p>
    <w:p w:rsidR="006E3356" w:rsidRPr="0005456E" w:rsidRDefault="006E3356" w:rsidP="0005456E">
      <w:pPr>
        <w:pStyle w:val="ListParagraph"/>
        <w:numPr>
          <w:ilvl w:val="1"/>
          <w:numId w:val="9"/>
        </w:numPr>
        <w:spacing w:after="60" w:line="276" w:lineRule="auto"/>
        <w:jc w:val="both"/>
        <w:rPr>
          <w:rFonts w:eastAsia="Times New Roman" w:cstheme="minorHAnsi"/>
        </w:rPr>
      </w:pPr>
      <w:r w:rsidRPr="0005456E">
        <w:rPr>
          <w:rFonts w:eastAsia="Times New Roman" w:cstheme="minorHAnsi"/>
        </w:rPr>
        <w:t>Eac</w:t>
      </w:r>
      <w:r w:rsidR="0005456E" w:rsidRPr="0005456E">
        <w:rPr>
          <w:rFonts w:eastAsia="Times New Roman" w:cstheme="minorHAnsi"/>
        </w:rPr>
        <w:t xml:space="preserve">h of NYFHT and </w:t>
      </w:r>
      <w:r w:rsidRPr="0005456E">
        <w:rPr>
          <w:rFonts w:eastAsia="Times New Roman" w:cstheme="minorHAnsi"/>
        </w:rPr>
        <w:t>FHO has the right to terminate this MoU at any time on [insert the number of day] day’s written notice to the other party. Such notice will be provided by facsimile as follows:</w:t>
      </w:r>
      <w:r w:rsidR="0005456E" w:rsidRPr="0005456E">
        <w:rPr>
          <w:rFonts w:eastAsia="Times New Roman" w:cstheme="minorHAnsi"/>
        </w:rPr>
        <w:t xml:space="preserve"> </w:t>
      </w:r>
      <w:r w:rsidR="0005456E">
        <w:rPr>
          <w:rFonts w:eastAsia="Times New Roman" w:cstheme="minorHAnsi"/>
        </w:rPr>
        <w:t xml:space="preserve">(i) </w:t>
      </w:r>
      <w:r w:rsidRPr="0005456E">
        <w:rPr>
          <w:rFonts w:eastAsia="Times New Roman" w:cstheme="minorHAnsi"/>
        </w:rPr>
        <w:t xml:space="preserve">To the NYFHT: </w:t>
      </w:r>
      <w:r w:rsidRPr="0005456E">
        <w:rPr>
          <w:rFonts w:eastAsia="Times New Roman" w:cstheme="minorHAnsi"/>
          <w:highlight w:val="yellow"/>
        </w:rPr>
        <w:t>[insert fax number</w:t>
      </w:r>
      <w:r w:rsidRPr="0005456E">
        <w:rPr>
          <w:rFonts w:eastAsia="Times New Roman" w:cstheme="minorHAnsi"/>
        </w:rPr>
        <w:t>]</w:t>
      </w:r>
      <w:r w:rsidR="0005456E" w:rsidRPr="0005456E">
        <w:rPr>
          <w:rFonts w:eastAsia="Times New Roman" w:cstheme="minorHAnsi"/>
        </w:rPr>
        <w:t>; and (ii)</w:t>
      </w:r>
      <w:r w:rsidR="0005456E">
        <w:rPr>
          <w:rFonts w:eastAsia="Times New Roman" w:cstheme="minorHAnsi"/>
        </w:rPr>
        <w:t xml:space="preserve"> </w:t>
      </w:r>
      <w:r w:rsidRPr="0005456E">
        <w:rPr>
          <w:rFonts w:eastAsia="Times New Roman" w:cstheme="minorHAnsi"/>
        </w:rPr>
        <w:t xml:space="preserve">To the </w:t>
      </w:r>
      <w:r w:rsidRPr="0005456E">
        <w:rPr>
          <w:rFonts w:eastAsia="Times New Roman" w:cstheme="minorHAnsi"/>
          <w:highlight w:val="yellow"/>
        </w:rPr>
        <w:t>_</w:t>
      </w:r>
      <w:r w:rsidRPr="0005456E">
        <w:rPr>
          <w:rFonts w:eastAsia="Times New Roman" w:cstheme="minorHAnsi"/>
        </w:rPr>
        <w:t xml:space="preserve">FHO: </w:t>
      </w:r>
      <w:r w:rsidRPr="0005456E">
        <w:rPr>
          <w:rFonts w:eastAsia="Times New Roman" w:cstheme="minorHAnsi"/>
          <w:highlight w:val="yellow"/>
        </w:rPr>
        <w:t>[insert fax number</w:t>
      </w:r>
      <w:r w:rsidRPr="0005456E">
        <w:rPr>
          <w:rFonts w:eastAsia="Times New Roman" w:cstheme="minorHAnsi"/>
        </w:rPr>
        <w:t>]</w:t>
      </w:r>
    </w:p>
    <w:p w:rsidR="006E3356" w:rsidRPr="006E3356" w:rsidRDefault="006E3356" w:rsidP="006E3356">
      <w:pPr>
        <w:spacing w:after="240" w:line="276" w:lineRule="auto"/>
        <w:ind w:left="1418"/>
        <w:jc w:val="both"/>
        <w:rPr>
          <w:rFonts w:eastAsia="Times New Roman" w:cstheme="minorHAnsi"/>
        </w:rPr>
      </w:pPr>
      <w:r>
        <w:rPr>
          <w:rFonts w:eastAsia="Times New Roman" w:cstheme="minorHAnsi"/>
        </w:rPr>
        <w:t>Notice will be deemed received on the day of transmission following acknowledgement of receipt by the recipient’s fax machine, except if such day is not a business day, then notice will be deemed received on the business day following such day.</w:t>
      </w:r>
    </w:p>
    <w:p w:rsidR="00717966" w:rsidRPr="00717966" w:rsidRDefault="00717966" w:rsidP="0005456E">
      <w:pPr>
        <w:pStyle w:val="ListParagraph"/>
        <w:numPr>
          <w:ilvl w:val="0"/>
          <w:numId w:val="9"/>
        </w:numPr>
        <w:spacing w:after="60" w:line="276" w:lineRule="auto"/>
        <w:ind w:left="714" w:hanging="357"/>
        <w:contextualSpacing w:val="0"/>
        <w:jc w:val="both"/>
        <w:rPr>
          <w:rFonts w:eastAsia="Times New Roman" w:cstheme="minorHAnsi"/>
        </w:rPr>
      </w:pPr>
      <w:r>
        <w:rPr>
          <w:rFonts w:eastAsia="Times New Roman" w:cstheme="minorHAnsi"/>
          <w:b/>
        </w:rPr>
        <w:t>Amendment</w:t>
      </w:r>
    </w:p>
    <w:p w:rsidR="006E3356" w:rsidRPr="006E3356" w:rsidRDefault="00DE5FF5" w:rsidP="006E3356">
      <w:pPr>
        <w:spacing w:after="240" w:line="276" w:lineRule="auto"/>
        <w:ind w:left="709"/>
        <w:jc w:val="both"/>
        <w:rPr>
          <w:rFonts w:eastAsia="Times New Roman" w:cstheme="minorHAnsi"/>
        </w:rPr>
      </w:pPr>
      <w:r w:rsidRPr="006E3356">
        <w:rPr>
          <w:rFonts w:eastAsia="Times New Roman" w:cstheme="minorHAnsi"/>
          <w:lang w:val="en-CA"/>
        </w:rPr>
        <w:t xml:space="preserve">This Agreement may be amended by written Agreement of the respective parties.  Any amendments shall be consistent with the requirements of PHIPA and applicable statutes. </w:t>
      </w:r>
    </w:p>
    <w:p w:rsidR="00DE5FF5" w:rsidRPr="006E3356" w:rsidRDefault="00DE5FF5" w:rsidP="0005456E">
      <w:pPr>
        <w:pStyle w:val="ListParagraph"/>
        <w:numPr>
          <w:ilvl w:val="0"/>
          <w:numId w:val="9"/>
        </w:numPr>
        <w:spacing w:after="60" w:line="276" w:lineRule="auto"/>
        <w:ind w:left="714" w:hanging="357"/>
        <w:contextualSpacing w:val="0"/>
        <w:jc w:val="both"/>
        <w:rPr>
          <w:rFonts w:eastAsia="Times New Roman" w:cstheme="minorHAnsi"/>
          <w:lang w:val="en-CA"/>
        </w:rPr>
      </w:pPr>
      <w:r w:rsidRPr="006E3356">
        <w:rPr>
          <w:rFonts w:eastAsia="Times New Roman" w:cstheme="minorHAnsi"/>
          <w:b/>
          <w:lang w:val="en-CA"/>
        </w:rPr>
        <w:t>C</w:t>
      </w:r>
      <w:r w:rsidR="0005456E">
        <w:rPr>
          <w:rFonts w:eastAsia="Times New Roman" w:cstheme="minorHAnsi"/>
          <w:b/>
          <w:lang w:val="en-CA"/>
        </w:rPr>
        <w:t>ounterparts</w:t>
      </w:r>
    </w:p>
    <w:p w:rsidR="0005456E" w:rsidRDefault="00DE5FF5" w:rsidP="0005456E">
      <w:pPr>
        <w:ind w:left="709"/>
        <w:jc w:val="both"/>
        <w:rPr>
          <w:rFonts w:eastAsia="Times New Roman" w:cstheme="minorHAnsi"/>
          <w:lang w:val="en-CA"/>
        </w:rPr>
      </w:pPr>
      <w:r w:rsidRPr="00F01841">
        <w:rPr>
          <w:rFonts w:eastAsia="Times New Roman" w:cstheme="minorHAnsi"/>
          <w:lang w:val="en-CA"/>
        </w:rPr>
        <w:t>This Agreement may be executed in any number of counterparts.  Each executed counterpart shall be deemed to be an original.  All executed counterparts taken together shall constitute one agreement.  Receipt of a facsimile version of an executed signature page by a Party shall constitute satisfactory evidence of execution of this Agreement by such Party.</w:t>
      </w:r>
    </w:p>
    <w:p w:rsidR="0005456E" w:rsidRDefault="0005456E" w:rsidP="0005456E">
      <w:pPr>
        <w:ind w:left="709"/>
        <w:jc w:val="both"/>
        <w:rPr>
          <w:rFonts w:eastAsia="Times New Roman" w:cstheme="minorHAnsi"/>
          <w:lang w:val="en-CA"/>
        </w:rPr>
      </w:pPr>
    </w:p>
    <w:p w:rsidR="0005456E" w:rsidRPr="0005456E" w:rsidRDefault="0005456E" w:rsidP="0005456E">
      <w:pPr>
        <w:jc w:val="both"/>
        <w:rPr>
          <w:rFonts w:eastAsia="Times New Roman" w:cstheme="minorHAnsi"/>
          <w:lang w:val="en-CA"/>
        </w:rPr>
      </w:pPr>
      <w:r>
        <w:rPr>
          <w:b/>
        </w:rPr>
        <w:t xml:space="preserve">IN WITNESS WHEREOF, </w:t>
      </w:r>
      <w:r>
        <w:t>this MoU has been duly executed by the parties who each hereby warrant and represent that the person signing on behalf of their</w:t>
      </w:r>
      <w:r w:rsidR="00895A02">
        <w:t xml:space="preserve"> respective party has</w:t>
      </w:r>
      <w:r>
        <w:t xml:space="preserve"> authority to execute this MoU on behalf of, and bind, the party for whom they have signed.</w:t>
      </w:r>
    </w:p>
    <w:p w:rsidR="0005456E" w:rsidRDefault="0005456E" w:rsidP="00476875">
      <w:pPr>
        <w:tabs>
          <w:tab w:val="left" w:pos="5387"/>
        </w:tabs>
        <w:jc w:val="both"/>
        <w:rPr>
          <w:rFonts w:eastAsia="Times New Roman" w:cstheme="minorHAnsi"/>
          <w:b/>
          <w:lang w:val="en-CA"/>
        </w:rPr>
      </w:pPr>
    </w:p>
    <w:p w:rsidR="006E3356" w:rsidRDefault="00476875" w:rsidP="00476875">
      <w:pPr>
        <w:tabs>
          <w:tab w:val="left" w:pos="5387"/>
        </w:tabs>
        <w:jc w:val="both"/>
        <w:rPr>
          <w:rFonts w:eastAsia="Times New Roman" w:cstheme="minorHAnsi"/>
          <w:b/>
          <w:lang w:val="en-CA"/>
        </w:rPr>
      </w:pPr>
      <w:r>
        <w:rPr>
          <w:rFonts w:eastAsia="Times New Roman" w:cstheme="minorHAnsi"/>
          <w:b/>
          <w:lang w:val="en-CA"/>
        </w:rPr>
        <w:t>NORTH TORONTO FAMILY HEALTH TEAM</w:t>
      </w:r>
      <w:r>
        <w:rPr>
          <w:rFonts w:eastAsia="Times New Roman" w:cstheme="minorHAnsi"/>
          <w:b/>
          <w:lang w:val="en-CA"/>
        </w:rPr>
        <w:tab/>
      </w:r>
      <w:r w:rsidRPr="0070279F">
        <w:rPr>
          <w:rFonts w:eastAsia="Times New Roman" w:cstheme="minorHAnsi"/>
          <w:b/>
          <w:highlight w:val="yellow"/>
          <w:lang w:val="en-CA"/>
        </w:rPr>
        <w:t>____________</w:t>
      </w:r>
      <w:r>
        <w:rPr>
          <w:rFonts w:eastAsia="Times New Roman" w:cstheme="minorHAnsi"/>
          <w:b/>
          <w:lang w:val="en-CA"/>
        </w:rPr>
        <w:t xml:space="preserve"> FAMILY HEALTH ORGANIZATION</w:t>
      </w:r>
    </w:p>
    <w:p w:rsidR="00476875" w:rsidRDefault="00476875" w:rsidP="00476875">
      <w:pPr>
        <w:tabs>
          <w:tab w:val="left" w:pos="5387"/>
        </w:tabs>
        <w:jc w:val="both"/>
        <w:rPr>
          <w:rFonts w:eastAsia="Times New Roman" w:cstheme="minorHAnsi"/>
          <w:b/>
          <w:lang w:val="en-CA"/>
        </w:rPr>
      </w:pPr>
    </w:p>
    <w:p w:rsidR="00476875" w:rsidRDefault="00476875" w:rsidP="00476875">
      <w:pPr>
        <w:tabs>
          <w:tab w:val="right" w:pos="4536"/>
          <w:tab w:val="left" w:pos="5387"/>
          <w:tab w:val="right" w:pos="10065"/>
        </w:tabs>
        <w:jc w:val="both"/>
        <w:rPr>
          <w:rFonts w:eastAsia="Times New Roman" w:cstheme="minorHAnsi"/>
          <w:b/>
          <w:u w:val="single"/>
          <w:lang w:val="en-CA"/>
        </w:rPr>
      </w:pPr>
      <w:r>
        <w:rPr>
          <w:rFonts w:eastAsia="Times New Roman" w:cstheme="minorHAnsi"/>
          <w:b/>
          <w:lang w:val="en-CA"/>
        </w:rPr>
        <w:t>By:</w:t>
      </w:r>
      <w:r>
        <w:rPr>
          <w:rFonts w:eastAsia="Times New Roman" w:cstheme="minorHAnsi"/>
          <w:b/>
          <w:u w:val="single"/>
          <w:lang w:val="en-CA"/>
        </w:rPr>
        <w:tab/>
      </w:r>
      <w:r>
        <w:rPr>
          <w:rFonts w:eastAsia="Times New Roman" w:cstheme="minorHAnsi"/>
          <w:b/>
          <w:lang w:val="en-CA"/>
        </w:rPr>
        <w:tab/>
        <w:t>By:</w:t>
      </w:r>
      <w:r>
        <w:rPr>
          <w:rFonts w:eastAsia="Times New Roman" w:cstheme="minorHAnsi"/>
          <w:b/>
          <w:u w:val="single"/>
          <w:lang w:val="en-CA"/>
        </w:rPr>
        <w:tab/>
      </w:r>
    </w:p>
    <w:p w:rsidR="00476875" w:rsidRDefault="00476875" w:rsidP="00476875">
      <w:pPr>
        <w:tabs>
          <w:tab w:val="right" w:pos="4536"/>
          <w:tab w:val="left" w:pos="5387"/>
          <w:tab w:val="right" w:pos="10065"/>
        </w:tabs>
        <w:jc w:val="both"/>
        <w:rPr>
          <w:rFonts w:eastAsia="Times New Roman" w:cstheme="minorHAnsi"/>
          <w:lang w:val="en-CA"/>
        </w:rPr>
      </w:pPr>
      <w:r>
        <w:rPr>
          <w:rFonts w:eastAsia="Times New Roman" w:cstheme="minorHAnsi"/>
          <w:lang w:val="en-CA"/>
        </w:rPr>
        <w:t>[</w:t>
      </w:r>
      <w:r w:rsidRPr="0070279F">
        <w:rPr>
          <w:rFonts w:eastAsia="Times New Roman" w:cstheme="minorHAnsi"/>
          <w:highlight w:val="yellow"/>
          <w:lang w:val="en-CA"/>
        </w:rPr>
        <w:t>Insert name of person authorized sign for NYFHT</w:t>
      </w:r>
      <w:r>
        <w:rPr>
          <w:rFonts w:eastAsia="Times New Roman" w:cstheme="minorHAnsi"/>
          <w:lang w:val="en-CA"/>
        </w:rPr>
        <w:t>]</w:t>
      </w:r>
      <w:r>
        <w:rPr>
          <w:rFonts w:eastAsia="Times New Roman" w:cstheme="minorHAnsi"/>
          <w:lang w:val="en-CA"/>
        </w:rPr>
        <w:tab/>
      </w:r>
      <w:r>
        <w:rPr>
          <w:rFonts w:eastAsia="Times New Roman" w:cstheme="minorHAnsi"/>
          <w:lang w:val="en-CA"/>
        </w:rPr>
        <w:tab/>
        <w:t>[</w:t>
      </w:r>
      <w:r w:rsidRPr="0070279F">
        <w:rPr>
          <w:rFonts w:eastAsia="Times New Roman" w:cstheme="minorHAnsi"/>
          <w:highlight w:val="yellow"/>
          <w:lang w:val="en-CA"/>
        </w:rPr>
        <w:t>Insert name of person authorized sign for</w:t>
      </w:r>
      <w:r w:rsidRPr="00C52949">
        <w:rPr>
          <w:rFonts w:eastAsia="Times New Roman" w:cstheme="minorHAnsi"/>
          <w:highlight w:val="yellow"/>
          <w:lang w:val="en-CA"/>
        </w:rPr>
        <w:t xml:space="preserve"> </w:t>
      </w:r>
      <w:r w:rsidR="00843907" w:rsidRPr="00843907">
        <w:rPr>
          <w:rFonts w:eastAsia="Times New Roman" w:cstheme="minorHAnsi"/>
          <w:highlight w:val="yellow"/>
          <w:lang w:val="en-CA"/>
        </w:rPr>
        <w:t>FHO</w:t>
      </w:r>
      <w:r>
        <w:rPr>
          <w:rFonts w:eastAsia="Times New Roman" w:cstheme="minorHAnsi"/>
          <w:lang w:val="en-CA"/>
        </w:rPr>
        <w:t>]</w:t>
      </w:r>
    </w:p>
    <w:p w:rsidR="00476875" w:rsidRPr="00476875" w:rsidRDefault="00476875" w:rsidP="00476875">
      <w:pPr>
        <w:tabs>
          <w:tab w:val="right" w:pos="4536"/>
          <w:tab w:val="left" w:pos="5387"/>
          <w:tab w:val="right" w:pos="10065"/>
        </w:tabs>
        <w:jc w:val="both"/>
        <w:rPr>
          <w:rFonts w:eastAsia="Times New Roman" w:cstheme="minorHAnsi"/>
          <w:lang w:val="en-CA"/>
        </w:rPr>
      </w:pPr>
      <w:r w:rsidRPr="0070279F">
        <w:rPr>
          <w:rFonts w:eastAsia="Times New Roman" w:cstheme="minorHAnsi"/>
          <w:highlight w:val="yellow"/>
          <w:lang w:val="en-CA"/>
        </w:rPr>
        <w:t>[Insert title of person</w:t>
      </w:r>
      <w:r>
        <w:rPr>
          <w:rFonts w:eastAsia="Times New Roman" w:cstheme="minorHAnsi"/>
          <w:lang w:val="en-CA"/>
        </w:rPr>
        <w:t>]</w:t>
      </w:r>
      <w:r>
        <w:rPr>
          <w:rFonts w:eastAsia="Times New Roman" w:cstheme="minorHAnsi"/>
          <w:lang w:val="en-CA"/>
        </w:rPr>
        <w:tab/>
      </w:r>
      <w:r>
        <w:rPr>
          <w:rFonts w:eastAsia="Times New Roman" w:cstheme="minorHAnsi"/>
          <w:lang w:val="en-CA"/>
        </w:rPr>
        <w:tab/>
        <w:t>[</w:t>
      </w:r>
      <w:r w:rsidRPr="0070279F">
        <w:rPr>
          <w:rFonts w:eastAsia="Times New Roman" w:cstheme="minorHAnsi"/>
          <w:highlight w:val="yellow"/>
          <w:lang w:val="en-CA"/>
        </w:rPr>
        <w:t>Insert title of person</w:t>
      </w:r>
      <w:r>
        <w:rPr>
          <w:rFonts w:eastAsia="Times New Roman" w:cstheme="minorHAnsi"/>
          <w:lang w:val="en-CA"/>
        </w:rPr>
        <w:t>]</w:t>
      </w:r>
    </w:p>
    <w:p w:rsidR="00476875" w:rsidRDefault="00476875" w:rsidP="00476875">
      <w:pPr>
        <w:tabs>
          <w:tab w:val="right" w:pos="4536"/>
          <w:tab w:val="left" w:pos="5387"/>
          <w:tab w:val="right" w:pos="10065"/>
        </w:tabs>
        <w:jc w:val="both"/>
        <w:rPr>
          <w:rFonts w:eastAsia="Times New Roman" w:cstheme="minorHAnsi"/>
          <w:lang w:val="en-CA"/>
        </w:rPr>
      </w:pPr>
    </w:p>
    <w:p w:rsidR="00C21BCB" w:rsidRPr="00F01841" w:rsidRDefault="00476875" w:rsidP="0005456E">
      <w:pPr>
        <w:tabs>
          <w:tab w:val="right" w:pos="4536"/>
          <w:tab w:val="left" w:pos="5387"/>
          <w:tab w:val="right" w:pos="10065"/>
        </w:tabs>
        <w:jc w:val="both"/>
        <w:rPr>
          <w:rFonts w:cstheme="minorHAnsi"/>
        </w:rPr>
      </w:pPr>
      <w:r>
        <w:rPr>
          <w:rFonts w:eastAsia="Times New Roman" w:cstheme="minorHAnsi"/>
          <w:b/>
          <w:lang w:val="en-CA"/>
        </w:rPr>
        <w:t>Date:</w:t>
      </w:r>
      <w:r>
        <w:rPr>
          <w:rFonts w:eastAsia="Times New Roman" w:cstheme="minorHAnsi"/>
          <w:b/>
          <w:u w:val="single"/>
          <w:lang w:val="en-CA"/>
        </w:rPr>
        <w:tab/>
      </w:r>
      <w:r>
        <w:rPr>
          <w:rFonts w:eastAsia="Times New Roman" w:cstheme="minorHAnsi"/>
          <w:b/>
          <w:lang w:val="en-CA"/>
        </w:rPr>
        <w:tab/>
        <w:t>Date:</w:t>
      </w:r>
      <w:r>
        <w:rPr>
          <w:rFonts w:eastAsia="Times New Roman" w:cstheme="minorHAnsi"/>
          <w:b/>
          <w:u w:val="single"/>
          <w:lang w:val="en-CA"/>
        </w:rPr>
        <w:tab/>
      </w:r>
    </w:p>
    <w:sectPr w:rsidR="00C21BCB" w:rsidRPr="00F01841" w:rsidSect="00F01841">
      <w:headerReference w:type="default" r:id="rId8"/>
      <w:footerReference w:type="default" r:id="rId9"/>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E33" w:rsidRDefault="00135E33">
      <w:r>
        <w:separator/>
      </w:r>
    </w:p>
  </w:endnote>
  <w:endnote w:type="continuationSeparator" w:id="0">
    <w:p w:rsidR="00135E33" w:rsidRDefault="00135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A58" w:rsidRDefault="00F01A58">
    <w:pPr>
      <w:pStyle w:val="Footer"/>
      <w:jc w:val="right"/>
    </w:pPr>
    <w:r>
      <w:t>DRAFT</w:t>
    </w:r>
    <w:r>
      <w:ptab w:relativeTo="margin" w:alignment="center" w:leader="none"/>
    </w:r>
    <w:r>
      <w:t>Vers. 2.</w:t>
    </w:r>
    <w:r w:rsidR="00214039">
      <w:t>2</w:t>
    </w:r>
    <w:r>
      <w:t>_</w:t>
    </w:r>
    <w:r w:rsidR="00214039">
      <w:t>January 3 2013</w:t>
    </w:r>
    <w:r>
      <w:ptab w:relativeTo="margin" w:alignment="right" w:leader="none"/>
    </w:r>
    <w:r w:rsidR="00DD4147">
      <w:fldChar w:fldCharType="begin"/>
    </w:r>
    <w:r>
      <w:instrText xml:space="preserve"> PAGE   \* MERGEFORMAT </w:instrText>
    </w:r>
    <w:r w:rsidR="00DD4147">
      <w:fldChar w:fldCharType="separate"/>
    </w:r>
    <w:r w:rsidR="000756DE">
      <w:rPr>
        <w:noProof/>
      </w:rPr>
      <w:t>1</w:t>
    </w:r>
    <w:r w:rsidR="00DD4147">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E33" w:rsidRDefault="00135E33">
      <w:r>
        <w:separator/>
      </w:r>
    </w:p>
  </w:footnote>
  <w:footnote w:type="continuationSeparator" w:id="0">
    <w:p w:rsidR="00135E33" w:rsidRDefault="00135E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A58" w:rsidRPr="00F01841" w:rsidRDefault="00135E33" w:rsidP="00F01841">
    <w:pPr>
      <w:pStyle w:val="Header"/>
      <w:spacing w:after="120"/>
    </w:pPr>
    <w:sdt>
      <w:sdtPr>
        <w:id w:val="481275180"/>
        <w:docPartObj>
          <w:docPartGallery w:val="Watermarks"/>
          <w:docPartUnique/>
        </w:docPartObj>
      </w:sdtPr>
      <w:sdtEnd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01A58">
      <w:rPr>
        <w:noProof/>
        <w:color w:val="000000"/>
        <w:sz w:val="16"/>
        <w:szCs w:val="16"/>
        <w:lang w:val="en-CA" w:eastAsia="en-CA"/>
      </w:rPr>
      <w:drawing>
        <wp:inline distT="0" distB="0" distL="0" distR="0">
          <wp:extent cx="2095500" cy="619125"/>
          <wp:effectExtent l="19050" t="0" r="0" b="0"/>
          <wp:docPr id="1" name="Picture 2" descr="Description: Description: 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logo2.PNG"/>
                  <pic:cNvPicPr>
                    <a:picLocks noChangeAspect="1" noChangeArrowheads="1"/>
                  </pic:cNvPicPr>
                </pic:nvPicPr>
                <pic:blipFill>
                  <a:blip r:embed="rId1" r:link="rId2"/>
                  <a:srcRect/>
                  <a:stretch>
                    <a:fillRect/>
                  </a:stretch>
                </pic:blipFill>
                <pic:spPr bwMode="auto">
                  <a:xfrm>
                    <a:off x="0" y="0"/>
                    <a:ext cx="2095500" cy="6191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18C81B26"/>
    <w:lvl w:ilvl="0">
      <w:start w:val="1"/>
      <w:numFmt w:val="decimal"/>
      <w:pStyle w:val="Heading1"/>
      <w:lvlText w:val="%1."/>
      <w:legacy w:legacy="1" w:legacySpace="120" w:legacyIndent="720"/>
      <w:lvlJc w:val="left"/>
      <w:pPr>
        <w:ind w:left="720" w:hanging="720"/>
      </w:pPr>
    </w:lvl>
    <w:lvl w:ilvl="1">
      <w:start w:val="1"/>
      <w:numFmt w:val="decimal"/>
      <w:pStyle w:val="Heading2"/>
      <w:lvlText w:val="%1.%2"/>
      <w:legacy w:legacy="1" w:legacySpace="120" w:legacyIndent="720"/>
      <w:lvlJc w:val="left"/>
      <w:pPr>
        <w:ind w:left="720" w:hanging="720"/>
      </w:pPr>
    </w:lvl>
    <w:lvl w:ilvl="2">
      <w:start w:val="1"/>
      <w:numFmt w:val="lowerLetter"/>
      <w:pStyle w:val="Heading3"/>
      <w:lvlText w:val="(%3)"/>
      <w:legacy w:legacy="1" w:legacySpace="120" w:legacyIndent="720"/>
      <w:lvlJc w:val="left"/>
      <w:pPr>
        <w:ind w:left="1440" w:hanging="720"/>
      </w:pPr>
    </w:lvl>
    <w:lvl w:ilvl="3">
      <w:start w:val="1"/>
      <w:numFmt w:val="lowerRoman"/>
      <w:pStyle w:val="Heading4"/>
      <w:lvlText w:val="(%4)"/>
      <w:legacy w:legacy="1" w:legacySpace="120" w:legacyIndent="720"/>
      <w:lvlJc w:val="left"/>
      <w:pPr>
        <w:ind w:left="2160"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0D727C26"/>
    <w:multiLevelType w:val="multilevel"/>
    <w:tmpl w:val="26388988"/>
    <w:lvl w:ilvl="0">
      <w:start w:val="10"/>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4E25EF9"/>
    <w:multiLevelType w:val="hybridMultilevel"/>
    <w:tmpl w:val="D14AAA82"/>
    <w:lvl w:ilvl="0" w:tplc="E646991A">
      <w:start w:val="1"/>
      <w:numFmt w:val="lowerRoman"/>
      <w:lvlText w:val="(%1)"/>
      <w:lvlJc w:val="left"/>
      <w:pPr>
        <w:ind w:left="1440" w:hanging="72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F5153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9DC461B"/>
    <w:multiLevelType w:val="hybridMultilevel"/>
    <w:tmpl w:val="792E3F90"/>
    <w:lvl w:ilvl="0" w:tplc="1009000F">
      <w:start w:val="1"/>
      <w:numFmt w:val="decimal"/>
      <w:lvlText w:val="%1."/>
      <w:lvlJc w:val="left"/>
      <w:pPr>
        <w:ind w:left="720" w:hanging="360"/>
      </w:pPr>
    </w:lvl>
    <w:lvl w:ilvl="1" w:tplc="04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20B56757"/>
    <w:multiLevelType w:val="multilevel"/>
    <w:tmpl w:val="635AFF32"/>
    <w:lvl w:ilvl="0">
      <w:start w:val="9"/>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6">
    <w:nsid w:val="2AC46488"/>
    <w:multiLevelType w:val="multilevel"/>
    <w:tmpl w:val="FF8AFCEA"/>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val="0"/>
      </w:rPr>
    </w:lvl>
    <w:lvl w:ilvl="2">
      <w:start w:val="1"/>
      <w:numFmt w:val="lowerLetter"/>
      <w:lvlText w:val="%3)"/>
      <w:lvlJc w:val="left"/>
      <w:pPr>
        <w:tabs>
          <w:tab w:val="num" w:pos="1890"/>
        </w:tabs>
        <w:ind w:left="1890" w:hanging="36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600"/>
        </w:tabs>
        <w:ind w:left="3600" w:hanging="72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400"/>
        </w:tabs>
        <w:ind w:left="5400" w:hanging="108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7">
    <w:nsid w:val="31250DD4"/>
    <w:multiLevelType w:val="hybridMultilevel"/>
    <w:tmpl w:val="F51A91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5A46DA5"/>
    <w:multiLevelType w:val="hybridMultilevel"/>
    <w:tmpl w:val="07F6E6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1656A0"/>
    <w:multiLevelType w:val="multilevel"/>
    <w:tmpl w:val="01F2FF6E"/>
    <w:lvl w:ilvl="0">
      <w:start w:val="4"/>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7F6055FD"/>
    <w:multiLevelType w:val="hybridMultilevel"/>
    <w:tmpl w:val="BB183BE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7FDD106F"/>
    <w:multiLevelType w:val="hybridMultilevel"/>
    <w:tmpl w:val="5F2A58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1"/>
  </w:num>
  <w:num w:numId="5">
    <w:abstractNumId w:val="8"/>
  </w:num>
  <w:num w:numId="6">
    <w:abstractNumId w:val="9"/>
  </w:num>
  <w:num w:numId="7">
    <w:abstractNumId w:val="5"/>
  </w:num>
  <w:num w:numId="8">
    <w:abstractNumId w:val="11"/>
  </w:num>
  <w:num w:numId="9">
    <w:abstractNumId w:val="10"/>
  </w:num>
  <w:num w:numId="10">
    <w:abstractNumId w:val="0"/>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E5FF5"/>
    <w:rsid w:val="0005456E"/>
    <w:rsid w:val="000570D4"/>
    <w:rsid w:val="00070CDD"/>
    <w:rsid w:val="000756DE"/>
    <w:rsid w:val="000936C2"/>
    <w:rsid w:val="000D5FA5"/>
    <w:rsid w:val="000D655A"/>
    <w:rsid w:val="00135E33"/>
    <w:rsid w:val="00143DE3"/>
    <w:rsid w:val="00156F4E"/>
    <w:rsid w:val="00174DB6"/>
    <w:rsid w:val="00187F31"/>
    <w:rsid w:val="001B3943"/>
    <w:rsid w:val="00214039"/>
    <w:rsid w:val="002311D4"/>
    <w:rsid w:val="00234FCC"/>
    <w:rsid w:val="0027430C"/>
    <w:rsid w:val="002E1621"/>
    <w:rsid w:val="002E2578"/>
    <w:rsid w:val="002F59FD"/>
    <w:rsid w:val="002F6346"/>
    <w:rsid w:val="00336EEE"/>
    <w:rsid w:val="003400C9"/>
    <w:rsid w:val="00352B27"/>
    <w:rsid w:val="0036666C"/>
    <w:rsid w:val="00367FA9"/>
    <w:rsid w:val="003A7E98"/>
    <w:rsid w:val="003B19E9"/>
    <w:rsid w:val="003B4F0D"/>
    <w:rsid w:val="003C391D"/>
    <w:rsid w:val="003E124C"/>
    <w:rsid w:val="00402BE3"/>
    <w:rsid w:val="0042204F"/>
    <w:rsid w:val="00422C7D"/>
    <w:rsid w:val="004258BE"/>
    <w:rsid w:val="0047456D"/>
    <w:rsid w:val="00476875"/>
    <w:rsid w:val="00481430"/>
    <w:rsid w:val="00483187"/>
    <w:rsid w:val="004D3312"/>
    <w:rsid w:val="004F1D0A"/>
    <w:rsid w:val="00514F8A"/>
    <w:rsid w:val="00551DFE"/>
    <w:rsid w:val="00552046"/>
    <w:rsid w:val="00556396"/>
    <w:rsid w:val="005B2355"/>
    <w:rsid w:val="005D429F"/>
    <w:rsid w:val="005E1887"/>
    <w:rsid w:val="005F37B0"/>
    <w:rsid w:val="00601933"/>
    <w:rsid w:val="00646D26"/>
    <w:rsid w:val="006727C6"/>
    <w:rsid w:val="006A155B"/>
    <w:rsid w:val="006C4B55"/>
    <w:rsid w:val="006D5FA0"/>
    <w:rsid w:val="006D615D"/>
    <w:rsid w:val="006E3356"/>
    <w:rsid w:val="006E76BB"/>
    <w:rsid w:val="0070279F"/>
    <w:rsid w:val="00717966"/>
    <w:rsid w:val="00741E95"/>
    <w:rsid w:val="00752CB7"/>
    <w:rsid w:val="007676A3"/>
    <w:rsid w:val="007910D8"/>
    <w:rsid w:val="007D037C"/>
    <w:rsid w:val="007F40C8"/>
    <w:rsid w:val="00816E2E"/>
    <w:rsid w:val="00843907"/>
    <w:rsid w:val="0084632E"/>
    <w:rsid w:val="00861B0F"/>
    <w:rsid w:val="0088545F"/>
    <w:rsid w:val="00895A02"/>
    <w:rsid w:val="008A2632"/>
    <w:rsid w:val="008B20BA"/>
    <w:rsid w:val="009017D2"/>
    <w:rsid w:val="00945863"/>
    <w:rsid w:val="009476E3"/>
    <w:rsid w:val="00950B05"/>
    <w:rsid w:val="009653BF"/>
    <w:rsid w:val="00A015DB"/>
    <w:rsid w:val="00A24BF7"/>
    <w:rsid w:val="00A41959"/>
    <w:rsid w:val="00A8502E"/>
    <w:rsid w:val="00A854F6"/>
    <w:rsid w:val="00A874F9"/>
    <w:rsid w:val="00A9369A"/>
    <w:rsid w:val="00AB4A31"/>
    <w:rsid w:val="00B853AB"/>
    <w:rsid w:val="00BD6E43"/>
    <w:rsid w:val="00C15C24"/>
    <w:rsid w:val="00C21BCB"/>
    <w:rsid w:val="00C52949"/>
    <w:rsid w:val="00C60161"/>
    <w:rsid w:val="00C60603"/>
    <w:rsid w:val="00C64D1E"/>
    <w:rsid w:val="00C8223F"/>
    <w:rsid w:val="00CC25B2"/>
    <w:rsid w:val="00CD54D8"/>
    <w:rsid w:val="00D24165"/>
    <w:rsid w:val="00D3001A"/>
    <w:rsid w:val="00D34336"/>
    <w:rsid w:val="00D35DAD"/>
    <w:rsid w:val="00D50B2D"/>
    <w:rsid w:val="00D6225D"/>
    <w:rsid w:val="00D64B81"/>
    <w:rsid w:val="00DA2228"/>
    <w:rsid w:val="00DA2F0F"/>
    <w:rsid w:val="00DB51A2"/>
    <w:rsid w:val="00DB6347"/>
    <w:rsid w:val="00DD4147"/>
    <w:rsid w:val="00DE579C"/>
    <w:rsid w:val="00DE5FF5"/>
    <w:rsid w:val="00E0032E"/>
    <w:rsid w:val="00E56F80"/>
    <w:rsid w:val="00E608F7"/>
    <w:rsid w:val="00EA0469"/>
    <w:rsid w:val="00EF5FB7"/>
    <w:rsid w:val="00F01841"/>
    <w:rsid w:val="00F01A58"/>
    <w:rsid w:val="00F3382B"/>
    <w:rsid w:val="00F37C4E"/>
    <w:rsid w:val="00F42F73"/>
    <w:rsid w:val="00F4379A"/>
    <w:rsid w:val="00F46C57"/>
    <w:rsid w:val="00F57215"/>
    <w:rsid w:val="00F65DE9"/>
    <w:rsid w:val="00FA13B8"/>
    <w:rsid w:val="00FA5B6D"/>
    <w:rsid w:val="00FB05DC"/>
    <w:rsid w:val="00FB0D98"/>
    <w:rsid w:val="00FD3CA0"/>
    <w:rsid w:val="00FD6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4F6"/>
  </w:style>
  <w:style w:type="paragraph" w:styleId="Heading1">
    <w:name w:val="heading 1"/>
    <w:basedOn w:val="Normal"/>
    <w:next w:val="Normal"/>
    <w:link w:val="Heading1Char"/>
    <w:qFormat/>
    <w:rsid w:val="0005456E"/>
    <w:pPr>
      <w:widowControl w:val="0"/>
      <w:numPr>
        <w:numId w:val="10"/>
      </w:numPr>
      <w:tabs>
        <w:tab w:val="left" w:pos="720"/>
      </w:tabs>
      <w:overflowPunct w:val="0"/>
      <w:autoSpaceDE w:val="0"/>
      <w:autoSpaceDN w:val="0"/>
      <w:adjustRightInd w:val="0"/>
      <w:spacing w:after="240"/>
      <w:jc w:val="both"/>
      <w:textAlignment w:val="baseline"/>
      <w:outlineLvl w:val="0"/>
    </w:pPr>
    <w:rPr>
      <w:rFonts w:ascii="Times New Roman" w:eastAsia="Times New Roman" w:hAnsi="Times New Roman" w:cs="Times New Roman"/>
      <w:kern w:val="32"/>
      <w:sz w:val="24"/>
      <w:szCs w:val="20"/>
    </w:rPr>
  </w:style>
  <w:style w:type="paragraph" w:styleId="Heading2">
    <w:name w:val="heading 2"/>
    <w:basedOn w:val="Normal"/>
    <w:next w:val="Normal"/>
    <w:link w:val="Heading2Char"/>
    <w:qFormat/>
    <w:rsid w:val="0005456E"/>
    <w:pPr>
      <w:keepNext/>
      <w:widowControl w:val="0"/>
      <w:numPr>
        <w:ilvl w:val="1"/>
        <w:numId w:val="10"/>
      </w:numPr>
      <w:tabs>
        <w:tab w:val="left" w:pos="720"/>
      </w:tabs>
      <w:overflowPunct w:val="0"/>
      <w:autoSpaceDE w:val="0"/>
      <w:autoSpaceDN w:val="0"/>
      <w:adjustRightInd w:val="0"/>
      <w:spacing w:after="240"/>
      <w:jc w:val="both"/>
      <w:textAlignment w:val="baseline"/>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05456E"/>
    <w:pPr>
      <w:keepNext/>
      <w:widowControl w:val="0"/>
      <w:numPr>
        <w:ilvl w:val="2"/>
        <w:numId w:val="10"/>
      </w:numPr>
      <w:tabs>
        <w:tab w:val="left" w:pos="1440"/>
      </w:tabs>
      <w:overflowPunct w:val="0"/>
      <w:autoSpaceDE w:val="0"/>
      <w:autoSpaceDN w:val="0"/>
      <w:adjustRightInd w:val="0"/>
      <w:spacing w:after="240"/>
      <w:jc w:val="both"/>
      <w:textAlignment w:val="baseline"/>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05456E"/>
    <w:pPr>
      <w:keepNext/>
      <w:widowControl w:val="0"/>
      <w:numPr>
        <w:ilvl w:val="3"/>
        <w:numId w:val="10"/>
      </w:numPr>
      <w:tabs>
        <w:tab w:val="left" w:pos="2160"/>
      </w:tabs>
      <w:overflowPunct w:val="0"/>
      <w:autoSpaceDE w:val="0"/>
      <w:autoSpaceDN w:val="0"/>
      <w:adjustRightInd w:val="0"/>
      <w:spacing w:after="240"/>
      <w:jc w:val="both"/>
      <w:textAlignment w:val="baseline"/>
      <w:outlineLvl w:val="3"/>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FF5"/>
    <w:pPr>
      <w:tabs>
        <w:tab w:val="center" w:pos="4680"/>
        <w:tab w:val="right" w:pos="9360"/>
      </w:tabs>
    </w:pPr>
  </w:style>
  <w:style w:type="character" w:customStyle="1" w:styleId="HeaderChar">
    <w:name w:val="Header Char"/>
    <w:basedOn w:val="DefaultParagraphFont"/>
    <w:link w:val="Header"/>
    <w:uiPriority w:val="99"/>
    <w:rsid w:val="00DE5FF5"/>
  </w:style>
  <w:style w:type="paragraph" w:styleId="Footer">
    <w:name w:val="footer"/>
    <w:basedOn w:val="Normal"/>
    <w:link w:val="FooterChar"/>
    <w:uiPriority w:val="99"/>
    <w:unhideWhenUsed/>
    <w:rsid w:val="00DE5FF5"/>
    <w:pPr>
      <w:tabs>
        <w:tab w:val="center" w:pos="4680"/>
        <w:tab w:val="right" w:pos="9360"/>
      </w:tabs>
    </w:pPr>
  </w:style>
  <w:style w:type="character" w:customStyle="1" w:styleId="FooterChar">
    <w:name w:val="Footer Char"/>
    <w:basedOn w:val="DefaultParagraphFont"/>
    <w:link w:val="Footer"/>
    <w:uiPriority w:val="99"/>
    <w:rsid w:val="00DE5FF5"/>
  </w:style>
  <w:style w:type="character" w:styleId="PageNumber">
    <w:name w:val="page number"/>
    <w:basedOn w:val="DefaultParagraphFont"/>
    <w:rsid w:val="00DE5FF5"/>
  </w:style>
  <w:style w:type="paragraph" w:styleId="ListParagraph">
    <w:name w:val="List Paragraph"/>
    <w:basedOn w:val="Normal"/>
    <w:uiPriority w:val="34"/>
    <w:qFormat/>
    <w:rsid w:val="003B4F0D"/>
    <w:pPr>
      <w:ind w:left="720"/>
      <w:contextualSpacing/>
    </w:pPr>
  </w:style>
  <w:style w:type="paragraph" w:styleId="BalloonText">
    <w:name w:val="Balloon Text"/>
    <w:basedOn w:val="Normal"/>
    <w:link w:val="BalloonTextChar"/>
    <w:uiPriority w:val="99"/>
    <w:semiHidden/>
    <w:unhideWhenUsed/>
    <w:rsid w:val="00F01841"/>
    <w:rPr>
      <w:rFonts w:ascii="Tahoma" w:hAnsi="Tahoma" w:cs="Tahoma"/>
      <w:sz w:val="16"/>
      <w:szCs w:val="16"/>
    </w:rPr>
  </w:style>
  <w:style w:type="character" w:customStyle="1" w:styleId="BalloonTextChar">
    <w:name w:val="Balloon Text Char"/>
    <w:basedOn w:val="DefaultParagraphFont"/>
    <w:link w:val="BalloonText"/>
    <w:uiPriority w:val="99"/>
    <w:semiHidden/>
    <w:rsid w:val="00F01841"/>
    <w:rPr>
      <w:rFonts w:ascii="Tahoma" w:hAnsi="Tahoma" w:cs="Tahoma"/>
      <w:sz w:val="16"/>
      <w:szCs w:val="16"/>
    </w:rPr>
  </w:style>
  <w:style w:type="character" w:customStyle="1" w:styleId="Heading1Char">
    <w:name w:val="Heading 1 Char"/>
    <w:basedOn w:val="DefaultParagraphFont"/>
    <w:link w:val="Heading1"/>
    <w:rsid w:val="0005456E"/>
    <w:rPr>
      <w:rFonts w:ascii="Times New Roman" w:eastAsia="Times New Roman" w:hAnsi="Times New Roman" w:cs="Times New Roman"/>
      <w:kern w:val="32"/>
      <w:sz w:val="24"/>
      <w:szCs w:val="20"/>
    </w:rPr>
  </w:style>
  <w:style w:type="character" w:customStyle="1" w:styleId="Heading2Char">
    <w:name w:val="Heading 2 Char"/>
    <w:basedOn w:val="DefaultParagraphFont"/>
    <w:link w:val="Heading2"/>
    <w:rsid w:val="0005456E"/>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05456E"/>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05456E"/>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C15C24"/>
    <w:rPr>
      <w:sz w:val="16"/>
      <w:szCs w:val="16"/>
    </w:rPr>
  </w:style>
  <w:style w:type="paragraph" w:styleId="CommentText">
    <w:name w:val="annotation text"/>
    <w:basedOn w:val="Normal"/>
    <w:link w:val="CommentTextChar"/>
    <w:uiPriority w:val="99"/>
    <w:semiHidden/>
    <w:unhideWhenUsed/>
    <w:rsid w:val="00C15C24"/>
    <w:rPr>
      <w:sz w:val="20"/>
      <w:szCs w:val="20"/>
    </w:rPr>
  </w:style>
  <w:style w:type="character" w:customStyle="1" w:styleId="CommentTextChar">
    <w:name w:val="Comment Text Char"/>
    <w:basedOn w:val="DefaultParagraphFont"/>
    <w:link w:val="CommentText"/>
    <w:uiPriority w:val="99"/>
    <w:semiHidden/>
    <w:rsid w:val="00C15C24"/>
    <w:rPr>
      <w:sz w:val="20"/>
      <w:szCs w:val="20"/>
    </w:rPr>
  </w:style>
  <w:style w:type="paragraph" w:styleId="CommentSubject">
    <w:name w:val="annotation subject"/>
    <w:basedOn w:val="CommentText"/>
    <w:next w:val="CommentText"/>
    <w:link w:val="CommentSubjectChar"/>
    <w:uiPriority w:val="99"/>
    <w:semiHidden/>
    <w:unhideWhenUsed/>
    <w:rsid w:val="00C15C24"/>
    <w:rPr>
      <w:b/>
      <w:bCs/>
    </w:rPr>
  </w:style>
  <w:style w:type="character" w:customStyle="1" w:styleId="CommentSubjectChar">
    <w:name w:val="Comment Subject Char"/>
    <w:basedOn w:val="CommentTextChar"/>
    <w:link w:val="CommentSubject"/>
    <w:uiPriority w:val="99"/>
    <w:semiHidden/>
    <w:rsid w:val="00C15C2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5456E"/>
    <w:pPr>
      <w:widowControl w:val="0"/>
      <w:numPr>
        <w:numId w:val="10"/>
      </w:numPr>
      <w:tabs>
        <w:tab w:val="left" w:pos="720"/>
      </w:tabs>
      <w:overflowPunct w:val="0"/>
      <w:autoSpaceDE w:val="0"/>
      <w:autoSpaceDN w:val="0"/>
      <w:adjustRightInd w:val="0"/>
      <w:spacing w:after="240"/>
      <w:jc w:val="both"/>
      <w:textAlignment w:val="baseline"/>
      <w:outlineLvl w:val="0"/>
    </w:pPr>
    <w:rPr>
      <w:rFonts w:ascii="Times New Roman" w:eastAsia="Times New Roman" w:hAnsi="Times New Roman" w:cs="Times New Roman"/>
      <w:kern w:val="32"/>
      <w:sz w:val="24"/>
      <w:szCs w:val="20"/>
    </w:rPr>
  </w:style>
  <w:style w:type="paragraph" w:styleId="Heading2">
    <w:name w:val="heading 2"/>
    <w:basedOn w:val="Normal"/>
    <w:next w:val="Normal"/>
    <w:link w:val="Heading2Char"/>
    <w:qFormat/>
    <w:rsid w:val="0005456E"/>
    <w:pPr>
      <w:keepNext/>
      <w:widowControl w:val="0"/>
      <w:numPr>
        <w:ilvl w:val="1"/>
        <w:numId w:val="10"/>
      </w:numPr>
      <w:tabs>
        <w:tab w:val="left" w:pos="720"/>
      </w:tabs>
      <w:overflowPunct w:val="0"/>
      <w:autoSpaceDE w:val="0"/>
      <w:autoSpaceDN w:val="0"/>
      <w:adjustRightInd w:val="0"/>
      <w:spacing w:after="240"/>
      <w:jc w:val="both"/>
      <w:textAlignment w:val="baseline"/>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05456E"/>
    <w:pPr>
      <w:keepNext/>
      <w:widowControl w:val="0"/>
      <w:numPr>
        <w:ilvl w:val="2"/>
        <w:numId w:val="10"/>
      </w:numPr>
      <w:tabs>
        <w:tab w:val="left" w:pos="1440"/>
      </w:tabs>
      <w:overflowPunct w:val="0"/>
      <w:autoSpaceDE w:val="0"/>
      <w:autoSpaceDN w:val="0"/>
      <w:adjustRightInd w:val="0"/>
      <w:spacing w:after="240"/>
      <w:jc w:val="both"/>
      <w:textAlignment w:val="baseline"/>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05456E"/>
    <w:pPr>
      <w:keepNext/>
      <w:widowControl w:val="0"/>
      <w:numPr>
        <w:ilvl w:val="3"/>
        <w:numId w:val="10"/>
      </w:numPr>
      <w:tabs>
        <w:tab w:val="left" w:pos="2160"/>
      </w:tabs>
      <w:overflowPunct w:val="0"/>
      <w:autoSpaceDE w:val="0"/>
      <w:autoSpaceDN w:val="0"/>
      <w:adjustRightInd w:val="0"/>
      <w:spacing w:after="240"/>
      <w:jc w:val="both"/>
      <w:textAlignment w:val="baseline"/>
      <w:outlineLvl w:val="3"/>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FF5"/>
    <w:pPr>
      <w:tabs>
        <w:tab w:val="center" w:pos="4680"/>
        <w:tab w:val="right" w:pos="9360"/>
      </w:tabs>
    </w:pPr>
  </w:style>
  <w:style w:type="character" w:customStyle="1" w:styleId="HeaderChar">
    <w:name w:val="Header Char"/>
    <w:basedOn w:val="DefaultParagraphFont"/>
    <w:link w:val="Header"/>
    <w:uiPriority w:val="99"/>
    <w:rsid w:val="00DE5FF5"/>
  </w:style>
  <w:style w:type="paragraph" w:styleId="Footer">
    <w:name w:val="footer"/>
    <w:basedOn w:val="Normal"/>
    <w:link w:val="FooterChar"/>
    <w:uiPriority w:val="99"/>
    <w:unhideWhenUsed/>
    <w:rsid w:val="00DE5FF5"/>
    <w:pPr>
      <w:tabs>
        <w:tab w:val="center" w:pos="4680"/>
        <w:tab w:val="right" w:pos="9360"/>
      </w:tabs>
    </w:pPr>
  </w:style>
  <w:style w:type="character" w:customStyle="1" w:styleId="FooterChar">
    <w:name w:val="Footer Char"/>
    <w:basedOn w:val="DefaultParagraphFont"/>
    <w:link w:val="Footer"/>
    <w:uiPriority w:val="99"/>
    <w:rsid w:val="00DE5FF5"/>
  </w:style>
  <w:style w:type="character" w:styleId="PageNumber">
    <w:name w:val="page number"/>
    <w:basedOn w:val="DefaultParagraphFont"/>
    <w:rsid w:val="00DE5FF5"/>
  </w:style>
  <w:style w:type="paragraph" w:styleId="ListParagraph">
    <w:name w:val="List Paragraph"/>
    <w:basedOn w:val="Normal"/>
    <w:uiPriority w:val="34"/>
    <w:qFormat/>
    <w:rsid w:val="003B4F0D"/>
    <w:pPr>
      <w:ind w:left="720"/>
      <w:contextualSpacing/>
    </w:pPr>
  </w:style>
  <w:style w:type="paragraph" w:styleId="BalloonText">
    <w:name w:val="Balloon Text"/>
    <w:basedOn w:val="Normal"/>
    <w:link w:val="BalloonTextChar"/>
    <w:uiPriority w:val="99"/>
    <w:semiHidden/>
    <w:unhideWhenUsed/>
    <w:rsid w:val="00F01841"/>
    <w:rPr>
      <w:rFonts w:ascii="Tahoma" w:hAnsi="Tahoma" w:cs="Tahoma"/>
      <w:sz w:val="16"/>
      <w:szCs w:val="16"/>
    </w:rPr>
  </w:style>
  <w:style w:type="character" w:customStyle="1" w:styleId="BalloonTextChar">
    <w:name w:val="Balloon Text Char"/>
    <w:basedOn w:val="DefaultParagraphFont"/>
    <w:link w:val="BalloonText"/>
    <w:uiPriority w:val="99"/>
    <w:semiHidden/>
    <w:rsid w:val="00F01841"/>
    <w:rPr>
      <w:rFonts w:ascii="Tahoma" w:hAnsi="Tahoma" w:cs="Tahoma"/>
      <w:sz w:val="16"/>
      <w:szCs w:val="16"/>
    </w:rPr>
  </w:style>
  <w:style w:type="character" w:customStyle="1" w:styleId="Heading1Char">
    <w:name w:val="Heading 1 Char"/>
    <w:basedOn w:val="DefaultParagraphFont"/>
    <w:link w:val="Heading1"/>
    <w:rsid w:val="0005456E"/>
    <w:rPr>
      <w:rFonts w:ascii="Times New Roman" w:eastAsia="Times New Roman" w:hAnsi="Times New Roman" w:cs="Times New Roman"/>
      <w:kern w:val="32"/>
      <w:sz w:val="24"/>
      <w:szCs w:val="20"/>
    </w:rPr>
  </w:style>
  <w:style w:type="character" w:customStyle="1" w:styleId="Heading2Char">
    <w:name w:val="Heading 2 Char"/>
    <w:basedOn w:val="DefaultParagraphFont"/>
    <w:link w:val="Heading2"/>
    <w:rsid w:val="0005456E"/>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05456E"/>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05456E"/>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C15C24"/>
    <w:rPr>
      <w:sz w:val="16"/>
      <w:szCs w:val="16"/>
    </w:rPr>
  </w:style>
  <w:style w:type="paragraph" w:styleId="CommentText">
    <w:name w:val="annotation text"/>
    <w:basedOn w:val="Normal"/>
    <w:link w:val="CommentTextChar"/>
    <w:uiPriority w:val="99"/>
    <w:semiHidden/>
    <w:unhideWhenUsed/>
    <w:rsid w:val="00C15C24"/>
    <w:rPr>
      <w:sz w:val="20"/>
      <w:szCs w:val="20"/>
    </w:rPr>
  </w:style>
  <w:style w:type="character" w:customStyle="1" w:styleId="CommentTextChar">
    <w:name w:val="Comment Text Char"/>
    <w:basedOn w:val="DefaultParagraphFont"/>
    <w:link w:val="CommentText"/>
    <w:uiPriority w:val="99"/>
    <w:semiHidden/>
    <w:rsid w:val="00C15C24"/>
    <w:rPr>
      <w:sz w:val="20"/>
      <w:szCs w:val="20"/>
    </w:rPr>
  </w:style>
  <w:style w:type="paragraph" w:styleId="CommentSubject">
    <w:name w:val="annotation subject"/>
    <w:basedOn w:val="CommentText"/>
    <w:next w:val="CommentText"/>
    <w:link w:val="CommentSubjectChar"/>
    <w:uiPriority w:val="99"/>
    <w:semiHidden/>
    <w:unhideWhenUsed/>
    <w:rsid w:val="00C15C24"/>
    <w:rPr>
      <w:b/>
      <w:bCs/>
    </w:rPr>
  </w:style>
  <w:style w:type="character" w:customStyle="1" w:styleId="CommentSubjectChar">
    <w:name w:val="Comment Subject Char"/>
    <w:basedOn w:val="CommentTextChar"/>
    <w:link w:val="CommentSubject"/>
    <w:uiPriority w:val="99"/>
    <w:semiHidden/>
    <w:rsid w:val="00C15C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2.jpg@01CDCEE3.BAB95AA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North York General Hospital</Company>
  <LinksUpToDate>false</LinksUpToDate>
  <CharactersWithSpaces>8193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Reynolds</dc:creator>
  <cp:lastModifiedBy>Angie Heydon</cp:lastModifiedBy>
  <cp:revision>2</cp:revision>
  <dcterms:created xsi:type="dcterms:W3CDTF">2013-04-19T14:31:00Z</dcterms:created>
  <dcterms:modified xsi:type="dcterms:W3CDTF">2013-04-19T14:31:00Z</dcterms:modified>
</cp:coreProperties>
</file>