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896BD" w14:textId="65331904" w:rsidR="00DE51B6" w:rsidRPr="004E7F69" w:rsidRDefault="00DE51B6" w:rsidP="00DE51B6">
      <w:pPr>
        <w:pStyle w:val="Subtitle"/>
        <w:spacing w:before="0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05C7230" wp14:editId="06ED75E3">
            <wp:extent cx="1170305" cy="469265"/>
            <wp:effectExtent l="0" t="0" r="0" b="0"/>
            <wp:docPr id="2" name="Picture 2" descr="Ontari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CBAB76" w14:textId="456BB407" w:rsidR="00471689" w:rsidRPr="004E7F69" w:rsidRDefault="004F672F" w:rsidP="00471689">
      <w:pPr>
        <w:pStyle w:val="Subtitle"/>
        <w:spacing w:before="0"/>
        <w:rPr>
          <w:sz w:val="28"/>
          <w:szCs w:val="28"/>
        </w:rPr>
      </w:pPr>
      <w:r>
        <w:rPr>
          <w:sz w:val="28"/>
          <w:szCs w:val="28"/>
        </w:rPr>
        <w:t>Ministère de la Santé</w:t>
      </w:r>
    </w:p>
    <w:p w14:paraId="317DB44C" w14:textId="0B2CB70B" w:rsidR="003E4DF4" w:rsidRPr="004E7F69" w:rsidRDefault="004F672F" w:rsidP="009D1AC4">
      <w:pPr>
        <w:pStyle w:val="Heading1"/>
      </w:pPr>
      <w:r>
        <w:t>Fiche de renseignements : Variole du singe – Guide de référence comparant la variole du singe, la varicelle et la maladie mains-pieds-bouche</w:t>
      </w:r>
    </w:p>
    <w:tbl>
      <w:tblPr>
        <w:tblStyle w:val="TableGrid"/>
        <w:tblW w:w="13149" w:type="dxa"/>
        <w:tblLayout w:type="fixed"/>
        <w:tblLook w:val="04A0" w:firstRow="1" w:lastRow="0" w:firstColumn="1" w:lastColumn="0" w:noHBand="0" w:noVBand="1"/>
      </w:tblPr>
      <w:tblGrid>
        <w:gridCol w:w="2405"/>
        <w:gridCol w:w="3373"/>
        <w:gridCol w:w="4083"/>
        <w:gridCol w:w="3288"/>
      </w:tblGrid>
      <w:tr w:rsidR="004F672F" w:rsidRPr="004E7F69" w14:paraId="09EA8DEB" w14:textId="77777777" w:rsidTr="004670D1">
        <w:trPr>
          <w:cantSplit/>
          <w:tblHeader/>
        </w:trPr>
        <w:tc>
          <w:tcPr>
            <w:tcW w:w="2405" w:type="dxa"/>
          </w:tcPr>
          <w:p w14:paraId="1A852B46" w14:textId="77777777" w:rsidR="004F672F" w:rsidRPr="004E7F69" w:rsidRDefault="004F672F" w:rsidP="004C348A">
            <w:pPr>
              <w:pStyle w:val="Heading3"/>
              <w:spacing w:before="120" w:after="120" w:line="23" w:lineRule="atLeast"/>
              <w:rPr>
                <w:b/>
                <w:bCs/>
                <w:i w:val="0"/>
                <w:iCs/>
              </w:rPr>
            </w:pPr>
            <w:r>
              <w:rPr>
                <w:b/>
                <w:bCs/>
                <w:i w:val="0"/>
                <w:iCs/>
              </w:rPr>
              <w:t>Catégorie</w:t>
            </w:r>
          </w:p>
        </w:tc>
        <w:tc>
          <w:tcPr>
            <w:tcW w:w="3373" w:type="dxa"/>
          </w:tcPr>
          <w:p w14:paraId="01D9DA2D" w14:textId="77777777" w:rsidR="004F672F" w:rsidRPr="004E7F69" w:rsidRDefault="004F672F" w:rsidP="004C348A">
            <w:pPr>
              <w:pStyle w:val="Heading3"/>
              <w:spacing w:before="120" w:after="120" w:line="23" w:lineRule="atLeast"/>
              <w:rPr>
                <w:b/>
                <w:bCs/>
                <w:i w:val="0"/>
                <w:iCs/>
              </w:rPr>
            </w:pPr>
            <w:r>
              <w:rPr>
                <w:b/>
                <w:bCs/>
                <w:i w:val="0"/>
                <w:iCs/>
              </w:rPr>
              <w:t>Variole du singe</w:t>
            </w:r>
          </w:p>
        </w:tc>
        <w:tc>
          <w:tcPr>
            <w:tcW w:w="4083" w:type="dxa"/>
          </w:tcPr>
          <w:p w14:paraId="1D93973D" w14:textId="4257B7AB" w:rsidR="004F672F" w:rsidRPr="004E7F69" w:rsidRDefault="004F672F" w:rsidP="004C348A">
            <w:pPr>
              <w:pStyle w:val="Heading3"/>
              <w:spacing w:before="120" w:after="120" w:line="23" w:lineRule="atLeast"/>
              <w:rPr>
                <w:b/>
                <w:bCs/>
                <w:i w:val="0"/>
                <w:iCs/>
              </w:rPr>
            </w:pPr>
            <w:r>
              <w:rPr>
                <w:b/>
                <w:bCs/>
                <w:i w:val="0"/>
                <w:iCs/>
              </w:rPr>
              <w:t>Varicelle</w:t>
            </w:r>
          </w:p>
        </w:tc>
        <w:tc>
          <w:tcPr>
            <w:tcW w:w="3288" w:type="dxa"/>
          </w:tcPr>
          <w:p w14:paraId="421DBD0E" w14:textId="77777777" w:rsidR="004F672F" w:rsidRPr="004E7F69" w:rsidRDefault="004F672F" w:rsidP="004C348A">
            <w:pPr>
              <w:pStyle w:val="Heading3"/>
              <w:spacing w:before="120" w:after="120" w:line="23" w:lineRule="atLeast"/>
              <w:rPr>
                <w:b/>
                <w:bCs/>
                <w:i w:val="0"/>
                <w:iCs/>
              </w:rPr>
            </w:pPr>
            <w:r>
              <w:rPr>
                <w:b/>
                <w:bCs/>
                <w:i w:val="0"/>
                <w:iCs/>
              </w:rPr>
              <w:t>Maladie mains-pieds-bouche</w:t>
            </w:r>
          </w:p>
        </w:tc>
      </w:tr>
      <w:tr w:rsidR="004F672F" w:rsidRPr="004E7F69" w14:paraId="1B737BEA" w14:textId="77777777" w:rsidTr="004670D1">
        <w:trPr>
          <w:cantSplit/>
        </w:trPr>
        <w:tc>
          <w:tcPr>
            <w:tcW w:w="2405" w:type="dxa"/>
          </w:tcPr>
          <w:p w14:paraId="06531CF5" w14:textId="77777777" w:rsidR="004F672F" w:rsidRPr="004E7F69" w:rsidRDefault="004F672F" w:rsidP="004C348A">
            <w:pPr>
              <w:spacing w:before="120" w:after="120" w:line="23" w:lineRule="atLeast"/>
              <w:rPr>
                <w:b/>
              </w:rPr>
            </w:pPr>
            <w:r>
              <w:rPr>
                <w:b/>
              </w:rPr>
              <w:t>Virus</w:t>
            </w:r>
          </w:p>
        </w:tc>
        <w:tc>
          <w:tcPr>
            <w:tcW w:w="3373" w:type="dxa"/>
          </w:tcPr>
          <w:p w14:paraId="3D8A9967" w14:textId="4F4FA363" w:rsidR="004F672F" w:rsidRPr="004E7F69" w:rsidRDefault="004F672F" w:rsidP="004C348A">
            <w:pPr>
              <w:spacing w:before="120" w:after="120" w:line="23" w:lineRule="atLeast"/>
            </w:pPr>
            <w:r>
              <w:rPr>
                <w:i/>
                <w:iCs/>
              </w:rPr>
              <w:t>Virus de la variole du singe</w:t>
            </w:r>
            <w:bookmarkStart w:id="0" w:name="_Ref107905468"/>
            <w:r w:rsidR="00C43897" w:rsidRPr="004E7F69">
              <w:rPr>
                <w:rStyle w:val="EndnoteReference"/>
              </w:rPr>
              <w:endnoteReference w:id="1"/>
            </w:r>
            <w:bookmarkEnd w:id="0"/>
          </w:p>
        </w:tc>
        <w:tc>
          <w:tcPr>
            <w:tcW w:w="4083" w:type="dxa"/>
          </w:tcPr>
          <w:p w14:paraId="092BD951" w14:textId="7BDF2BB5" w:rsidR="004F672F" w:rsidRPr="004E7F69" w:rsidRDefault="004F672F" w:rsidP="004C348A">
            <w:pPr>
              <w:spacing w:before="120" w:after="120" w:line="23" w:lineRule="atLeast"/>
            </w:pPr>
            <w:r>
              <w:rPr>
                <w:i/>
                <w:iCs/>
              </w:rPr>
              <w:t>Virus varicelle-zona</w:t>
            </w:r>
            <w:r>
              <w:t xml:space="preserve"> (VVZ)</w:t>
            </w:r>
            <w:bookmarkStart w:id="1" w:name="_Ref107905505"/>
            <w:r w:rsidR="00B50466" w:rsidRPr="004E7F69">
              <w:rPr>
                <w:rStyle w:val="EndnoteReference"/>
              </w:rPr>
              <w:endnoteReference w:id="2"/>
            </w:r>
            <w:bookmarkEnd w:id="1"/>
          </w:p>
        </w:tc>
        <w:tc>
          <w:tcPr>
            <w:tcW w:w="3288" w:type="dxa"/>
          </w:tcPr>
          <w:p w14:paraId="723CA42E" w14:textId="0D2B27C7" w:rsidR="004F672F" w:rsidRPr="004E7F69" w:rsidRDefault="004F672F" w:rsidP="004C348A">
            <w:pPr>
              <w:spacing w:before="120" w:after="120" w:line="23" w:lineRule="atLeast"/>
            </w:pPr>
            <w:r>
              <w:rPr>
                <w:i/>
                <w:iCs/>
              </w:rPr>
              <w:t>Entérovirus</w:t>
            </w:r>
            <w:r>
              <w:t xml:space="preserve"> (par exemple, virus </w:t>
            </w:r>
            <w:proofErr w:type="spellStart"/>
            <w:r>
              <w:t>Coxsackie</w:t>
            </w:r>
            <w:proofErr w:type="spellEnd"/>
            <w:r>
              <w:t xml:space="preserve"> A16, Entérovirus 71)</w:t>
            </w:r>
            <w:bookmarkStart w:id="2" w:name="_Ref107905526"/>
            <w:r w:rsidR="00B50466" w:rsidRPr="004E7F69">
              <w:rPr>
                <w:rStyle w:val="EndnoteReference"/>
              </w:rPr>
              <w:endnoteReference w:id="3"/>
            </w:r>
            <w:bookmarkEnd w:id="2"/>
          </w:p>
        </w:tc>
      </w:tr>
      <w:tr w:rsidR="004F672F" w:rsidRPr="004E7F69" w14:paraId="03B60945" w14:textId="77777777" w:rsidTr="004670D1">
        <w:trPr>
          <w:cantSplit/>
        </w:trPr>
        <w:tc>
          <w:tcPr>
            <w:tcW w:w="2405" w:type="dxa"/>
          </w:tcPr>
          <w:p w14:paraId="38657595" w14:textId="2C9E01B9" w:rsidR="004F672F" w:rsidRPr="004E7F69" w:rsidRDefault="004F672F" w:rsidP="004C348A">
            <w:pPr>
              <w:spacing w:before="120" w:after="120" w:line="23" w:lineRule="atLeast"/>
              <w:rPr>
                <w:b/>
              </w:rPr>
            </w:pPr>
            <w:r>
              <w:rPr>
                <w:b/>
              </w:rPr>
              <w:t>Période d</w:t>
            </w:r>
            <w:r w:rsidR="00F258E3">
              <w:rPr>
                <w:b/>
              </w:rPr>
              <w:t>’</w:t>
            </w:r>
            <w:r>
              <w:rPr>
                <w:b/>
              </w:rPr>
              <w:t>incubation</w:t>
            </w:r>
          </w:p>
        </w:tc>
        <w:tc>
          <w:tcPr>
            <w:tcW w:w="3373" w:type="dxa"/>
          </w:tcPr>
          <w:p w14:paraId="275CAA19" w14:textId="431A3480" w:rsidR="004F672F" w:rsidRPr="004E7F69" w:rsidRDefault="004F672F" w:rsidP="004C348A">
            <w:pPr>
              <w:spacing w:before="120" w:after="120" w:line="23" w:lineRule="atLeast"/>
            </w:pPr>
            <w:r>
              <w:t>De 5 à 21 jours</w:t>
            </w:r>
            <w:r w:rsidR="00B50466" w:rsidRPr="004E7F69">
              <w:rPr>
                <w:vertAlign w:val="superscript"/>
              </w:rPr>
              <w:fldChar w:fldCharType="begin" w:fldLock="1"/>
            </w:r>
            <w:r w:rsidR="00B50466" w:rsidRPr="004E7F69">
              <w:rPr>
                <w:vertAlign w:val="superscript"/>
              </w:rPr>
              <w:instrText xml:space="preserve"> NOTEREF _Ref107905468 \h  \* MERGEFORMAT </w:instrText>
            </w:r>
            <w:r w:rsidR="00B50466" w:rsidRPr="004E7F69">
              <w:rPr>
                <w:vertAlign w:val="superscript"/>
              </w:rPr>
            </w:r>
            <w:r w:rsidR="00B50466" w:rsidRPr="004E7F69">
              <w:rPr>
                <w:vertAlign w:val="superscript"/>
              </w:rPr>
              <w:fldChar w:fldCharType="separate"/>
            </w:r>
            <w:r w:rsidR="00B50466" w:rsidRPr="004E7F69">
              <w:rPr>
                <w:vertAlign w:val="superscript"/>
              </w:rPr>
              <w:t>1</w:t>
            </w:r>
            <w:r w:rsidR="00B50466" w:rsidRPr="004E7F69">
              <w:rPr>
                <w:vertAlign w:val="superscript"/>
              </w:rPr>
              <w:fldChar w:fldCharType="end"/>
            </w:r>
          </w:p>
        </w:tc>
        <w:tc>
          <w:tcPr>
            <w:tcW w:w="4083" w:type="dxa"/>
          </w:tcPr>
          <w:p w14:paraId="28F65A2C" w14:textId="6A8CA37F" w:rsidR="004F672F" w:rsidRPr="004E7F69" w:rsidRDefault="004F672F" w:rsidP="004C348A">
            <w:pPr>
              <w:spacing w:before="120" w:after="120" w:line="23" w:lineRule="atLeast"/>
            </w:pPr>
            <w:r>
              <w:t>De 10 à 21 jours, mais peut atteindre 28 jours en cas d</w:t>
            </w:r>
            <w:r w:rsidR="00F258E3">
              <w:t>’</w:t>
            </w:r>
            <w:r>
              <w:t xml:space="preserve">infection </w:t>
            </w:r>
            <w:proofErr w:type="spellStart"/>
            <w:r>
              <w:t>postvaccinale</w:t>
            </w:r>
            <w:proofErr w:type="spellEnd"/>
            <w:r w:rsidR="00CB6D36" w:rsidRPr="004E7F69">
              <w:rPr>
                <w:rStyle w:val="FootnoteReference"/>
              </w:rPr>
              <w:footnoteReference w:id="1"/>
            </w:r>
            <w:r w:rsidR="00B50466" w:rsidRPr="004E7F69">
              <w:rPr>
                <w:vertAlign w:val="superscript"/>
              </w:rPr>
              <w:fldChar w:fldCharType="begin" w:fldLock="1"/>
            </w:r>
            <w:r w:rsidR="00B50466" w:rsidRPr="004E7F69">
              <w:rPr>
                <w:vertAlign w:val="superscript"/>
              </w:rPr>
              <w:instrText xml:space="preserve"> NOTEREF _Ref107905505 \h  \* MERGEFORMAT </w:instrText>
            </w:r>
            <w:r w:rsidR="00B50466" w:rsidRPr="004E7F69">
              <w:rPr>
                <w:vertAlign w:val="superscript"/>
              </w:rPr>
            </w:r>
            <w:r w:rsidR="00B50466" w:rsidRPr="004E7F69">
              <w:rPr>
                <w:vertAlign w:val="superscript"/>
              </w:rPr>
              <w:fldChar w:fldCharType="separate"/>
            </w:r>
            <w:r w:rsidR="00B50466" w:rsidRPr="004E7F69">
              <w:rPr>
                <w:vertAlign w:val="superscript"/>
              </w:rPr>
              <w:t>2</w:t>
            </w:r>
            <w:r w:rsidR="00B50466" w:rsidRPr="004E7F69">
              <w:rPr>
                <w:vertAlign w:val="superscript"/>
              </w:rPr>
              <w:fldChar w:fldCharType="end"/>
            </w:r>
          </w:p>
        </w:tc>
        <w:tc>
          <w:tcPr>
            <w:tcW w:w="3288" w:type="dxa"/>
          </w:tcPr>
          <w:p w14:paraId="0DEE22B4" w14:textId="46619C4A" w:rsidR="004F672F" w:rsidRPr="004E7F69" w:rsidRDefault="004F672F" w:rsidP="004C348A">
            <w:pPr>
              <w:spacing w:before="120" w:after="120" w:line="23" w:lineRule="atLeast"/>
            </w:pPr>
            <w:r>
              <w:t>De 3 à 7 jours</w:t>
            </w:r>
            <w:r w:rsidR="00B50466" w:rsidRPr="004E7F69">
              <w:rPr>
                <w:vertAlign w:val="superscript"/>
              </w:rPr>
              <w:fldChar w:fldCharType="begin" w:fldLock="1"/>
            </w:r>
            <w:r w:rsidR="00B50466" w:rsidRPr="004E7F69">
              <w:rPr>
                <w:vertAlign w:val="superscript"/>
              </w:rPr>
              <w:instrText xml:space="preserve"> NOTEREF _Ref107905526 \h  \* MERGEFORMAT </w:instrText>
            </w:r>
            <w:r w:rsidR="00B50466" w:rsidRPr="004E7F69">
              <w:rPr>
                <w:vertAlign w:val="superscript"/>
              </w:rPr>
            </w:r>
            <w:r w:rsidR="00B50466" w:rsidRPr="004E7F69">
              <w:rPr>
                <w:vertAlign w:val="superscript"/>
              </w:rPr>
              <w:fldChar w:fldCharType="separate"/>
            </w:r>
            <w:r w:rsidR="00B50466" w:rsidRPr="004E7F69">
              <w:rPr>
                <w:vertAlign w:val="superscript"/>
              </w:rPr>
              <w:t>3</w:t>
            </w:r>
            <w:r w:rsidR="00B50466" w:rsidRPr="004E7F69">
              <w:rPr>
                <w:vertAlign w:val="superscript"/>
              </w:rPr>
              <w:fldChar w:fldCharType="end"/>
            </w:r>
          </w:p>
        </w:tc>
      </w:tr>
      <w:tr w:rsidR="004F672F" w:rsidRPr="004E7F69" w14:paraId="4D686912" w14:textId="77777777" w:rsidTr="004670D1">
        <w:trPr>
          <w:cantSplit/>
        </w:trPr>
        <w:tc>
          <w:tcPr>
            <w:tcW w:w="2405" w:type="dxa"/>
          </w:tcPr>
          <w:p w14:paraId="798E402E" w14:textId="77777777" w:rsidR="004F672F" w:rsidRPr="004E7F69" w:rsidRDefault="004F672F" w:rsidP="004C348A">
            <w:pPr>
              <w:spacing w:before="120" w:after="120" w:line="23" w:lineRule="atLeast"/>
              <w:rPr>
                <w:b/>
              </w:rPr>
            </w:pPr>
            <w:r>
              <w:rPr>
                <w:b/>
              </w:rPr>
              <w:lastRenderedPageBreak/>
              <w:t>Fièvre</w:t>
            </w:r>
          </w:p>
        </w:tc>
        <w:tc>
          <w:tcPr>
            <w:tcW w:w="3373" w:type="dxa"/>
          </w:tcPr>
          <w:p w14:paraId="614113AE" w14:textId="20CE4E33" w:rsidR="004F672F" w:rsidRPr="004E7F69" w:rsidRDefault="004F672F" w:rsidP="004C348A">
            <w:pPr>
              <w:spacing w:before="120" w:after="120" w:line="23" w:lineRule="atLeast"/>
            </w:pPr>
            <w:r>
              <w:t>Peut survenir</w:t>
            </w:r>
            <w:bookmarkStart w:id="3" w:name="_Ref107906408"/>
            <w:r w:rsidR="00B50466" w:rsidRPr="004E7F69">
              <w:rPr>
                <w:rStyle w:val="FootnoteReference"/>
              </w:rPr>
              <w:footnoteReference w:id="2"/>
            </w:r>
            <w:bookmarkEnd w:id="3"/>
            <w:r>
              <w:t>, le plus souvent de 1 à 3 jours avant l</w:t>
            </w:r>
            <w:r w:rsidR="00F258E3">
              <w:t>’</w:t>
            </w:r>
            <w:r>
              <w:t>apparition de l</w:t>
            </w:r>
            <w:r w:rsidR="00F258E3">
              <w:t>’</w:t>
            </w:r>
            <w:r>
              <w:t>éruption cutanée</w:t>
            </w:r>
            <w:r w:rsidR="00CB6D36" w:rsidRPr="004E7F69">
              <w:rPr>
                <w:vertAlign w:val="superscript"/>
              </w:rPr>
              <w:fldChar w:fldCharType="begin" w:fldLock="1"/>
            </w:r>
            <w:r w:rsidR="00CB6D36" w:rsidRPr="004E7F69">
              <w:rPr>
                <w:vertAlign w:val="superscript"/>
              </w:rPr>
              <w:instrText xml:space="preserve"> NOTEREF _Ref107905468 \h  \* MERGEFORMAT </w:instrText>
            </w:r>
            <w:r w:rsidR="00CB6D36" w:rsidRPr="004E7F69">
              <w:rPr>
                <w:vertAlign w:val="superscript"/>
              </w:rPr>
            </w:r>
            <w:r w:rsidR="00CB6D36" w:rsidRPr="004E7F69">
              <w:rPr>
                <w:vertAlign w:val="superscript"/>
              </w:rPr>
              <w:fldChar w:fldCharType="separate"/>
            </w:r>
            <w:r w:rsidR="00CB6D36" w:rsidRPr="004E7F69">
              <w:rPr>
                <w:vertAlign w:val="superscript"/>
              </w:rPr>
              <w:t>1</w:t>
            </w:r>
            <w:r w:rsidR="00CB6D36" w:rsidRPr="004E7F69">
              <w:rPr>
                <w:vertAlign w:val="superscript"/>
              </w:rPr>
              <w:fldChar w:fldCharType="end"/>
            </w:r>
            <w:r>
              <w:rPr>
                <w:vertAlign w:val="superscript"/>
              </w:rPr>
              <w:t>,</w:t>
            </w:r>
            <w:bookmarkStart w:id="4" w:name="_Ref107907003"/>
            <w:r w:rsidR="00CB6D36" w:rsidRPr="004E7F69">
              <w:rPr>
                <w:rStyle w:val="EndnoteReference"/>
              </w:rPr>
              <w:endnoteReference w:id="4"/>
            </w:r>
            <w:bookmarkEnd w:id="4"/>
          </w:p>
        </w:tc>
        <w:tc>
          <w:tcPr>
            <w:tcW w:w="4083" w:type="dxa"/>
          </w:tcPr>
          <w:p w14:paraId="189CD481" w14:textId="10F0139A" w:rsidR="004F672F" w:rsidRPr="004E7F69" w:rsidRDefault="004F672F" w:rsidP="004C348A">
            <w:pPr>
              <w:spacing w:before="120" w:after="120" w:line="23" w:lineRule="atLeast"/>
              <w:rPr>
                <w:vertAlign w:val="superscript"/>
              </w:rPr>
            </w:pPr>
            <w:r>
              <w:rPr>
                <w:b/>
                <w:i/>
              </w:rPr>
              <w:t>Personnes non vaccinées :</w:t>
            </w:r>
            <w:r>
              <w:t xml:space="preserve"> Léger si présent, de 1 à 2 jours avant l</w:t>
            </w:r>
            <w:r w:rsidR="00F258E3">
              <w:t>’</w:t>
            </w:r>
            <w:r>
              <w:t>éruption cutanée</w:t>
            </w:r>
            <w:r w:rsidR="00E847EA" w:rsidRPr="004E7F69">
              <w:rPr>
                <w:vertAlign w:val="superscript"/>
              </w:rPr>
              <w:fldChar w:fldCharType="begin" w:fldLock="1"/>
            </w:r>
            <w:r w:rsidR="00E847EA" w:rsidRPr="004E7F69">
              <w:rPr>
                <w:vertAlign w:val="superscript"/>
              </w:rPr>
              <w:instrText xml:space="preserve"> NOTEREF _Ref107905505 \h  \* MERGEFORMAT </w:instrText>
            </w:r>
            <w:r w:rsidR="00E847EA" w:rsidRPr="004E7F69">
              <w:rPr>
                <w:vertAlign w:val="superscript"/>
              </w:rPr>
            </w:r>
            <w:r w:rsidR="00E847EA" w:rsidRPr="004E7F69">
              <w:rPr>
                <w:vertAlign w:val="superscript"/>
              </w:rPr>
              <w:fldChar w:fldCharType="separate"/>
            </w:r>
            <w:r w:rsidR="00E847EA" w:rsidRPr="004E7F69">
              <w:rPr>
                <w:vertAlign w:val="superscript"/>
              </w:rPr>
              <w:t>2</w:t>
            </w:r>
            <w:r w:rsidR="00E847EA" w:rsidRPr="004E7F69">
              <w:rPr>
                <w:vertAlign w:val="superscript"/>
              </w:rPr>
              <w:fldChar w:fldCharType="end"/>
            </w:r>
          </w:p>
          <w:p w14:paraId="5391079E" w14:textId="77777777" w:rsidR="004F672F" w:rsidRPr="004E7F69" w:rsidRDefault="004F672F" w:rsidP="004C348A">
            <w:pPr>
              <w:spacing w:before="120" w:after="120" w:line="23" w:lineRule="atLeast"/>
              <w:rPr>
                <w:vertAlign w:val="superscript"/>
              </w:rPr>
            </w:pPr>
            <w:r>
              <w:rPr>
                <w:b/>
                <w:i/>
              </w:rPr>
              <w:t xml:space="preserve">Infection </w:t>
            </w:r>
            <w:proofErr w:type="spellStart"/>
            <w:r>
              <w:rPr>
                <w:b/>
                <w:i/>
              </w:rPr>
              <w:t>postvaccinale</w:t>
            </w:r>
            <w:proofErr w:type="spellEnd"/>
            <w:r>
              <w:rPr>
                <w:b/>
                <w:i/>
              </w:rPr>
              <w:t> </w:t>
            </w:r>
            <w:r>
              <w:t>: Moins courante</w:t>
            </w:r>
            <w:r>
              <w:rPr>
                <w:vertAlign w:val="superscript"/>
              </w:rPr>
              <w:t>2</w:t>
            </w:r>
          </w:p>
        </w:tc>
        <w:tc>
          <w:tcPr>
            <w:tcW w:w="3288" w:type="dxa"/>
          </w:tcPr>
          <w:p w14:paraId="7DDE1F6C" w14:textId="016B6ADC" w:rsidR="004F672F" w:rsidRPr="004E7F69" w:rsidRDefault="004F672F" w:rsidP="004C348A">
            <w:pPr>
              <w:spacing w:before="120" w:after="120" w:line="23" w:lineRule="atLeast"/>
            </w:pPr>
            <w:r>
              <w:t>De 1 à 2 jours avant la formation de vésicules orales</w:t>
            </w:r>
            <w:r w:rsidR="00E847EA" w:rsidRPr="004E7F69">
              <w:rPr>
                <w:rStyle w:val="EndnoteReference"/>
              </w:rPr>
              <w:endnoteReference w:id="5"/>
            </w:r>
          </w:p>
        </w:tc>
      </w:tr>
      <w:tr w:rsidR="004F672F" w:rsidRPr="004E7F69" w14:paraId="268E09FF" w14:textId="77777777" w:rsidTr="004670D1">
        <w:trPr>
          <w:cantSplit/>
        </w:trPr>
        <w:tc>
          <w:tcPr>
            <w:tcW w:w="2405" w:type="dxa"/>
          </w:tcPr>
          <w:p w14:paraId="3993B4AD" w14:textId="77777777" w:rsidR="004F672F" w:rsidRPr="004E7F69" w:rsidRDefault="004F672F" w:rsidP="004C348A">
            <w:pPr>
              <w:spacing w:before="120" w:after="120" w:line="23" w:lineRule="atLeast"/>
              <w:rPr>
                <w:b/>
              </w:rPr>
            </w:pPr>
            <w:proofErr w:type="spellStart"/>
            <w:r>
              <w:rPr>
                <w:b/>
              </w:rPr>
              <w:t>Lymphadénopathie</w:t>
            </w:r>
            <w:proofErr w:type="spellEnd"/>
          </w:p>
        </w:tc>
        <w:tc>
          <w:tcPr>
            <w:tcW w:w="3373" w:type="dxa"/>
          </w:tcPr>
          <w:p w14:paraId="72872238" w14:textId="13ABD902" w:rsidR="004F672F" w:rsidRPr="004E7F69" w:rsidRDefault="004F672F" w:rsidP="004C348A">
            <w:pPr>
              <w:spacing w:before="120" w:after="120" w:line="23" w:lineRule="atLeast"/>
              <w:rPr>
                <w:vertAlign w:val="superscript"/>
              </w:rPr>
            </w:pPr>
            <w:r>
              <w:t>Peut se produire</w:t>
            </w:r>
            <w:r w:rsidR="00E847EA" w:rsidRPr="004E7F69">
              <w:rPr>
                <w:vertAlign w:val="superscript"/>
              </w:rPr>
              <w:fldChar w:fldCharType="begin" w:fldLock="1"/>
            </w:r>
            <w:r w:rsidR="00E847EA" w:rsidRPr="004E7F69">
              <w:rPr>
                <w:vertAlign w:val="superscript"/>
              </w:rPr>
              <w:instrText xml:space="preserve"> NOTEREF _Ref107905468 \h  \* MERGEFORMAT </w:instrText>
            </w:r>
            <w:r w:rsidR="00E847EA" w:rsidRPr="004E7F69">
              <w:rPr>
                <w:vertAlign w:val="superscript"/>
              </w:rPr>
            </w:r>
            <w:r w:rsidR="00E847EA" w:rsidRPr="004E7F69">
              <w:rPr>
                <w:vertAlign w:val="superscript"/>
              </w:rPr>
              <w:fldChar w:fldCharType="separate"/>
            </w:r>
            <w:r w:rsidR="00E847EA" w:rsidRPr="004E7F69">
              <w:rPr>
                <w:vertAlign w:val="superscript"/>
              </w:rPr>
              <w:t>1</w:t>
            </w:r>
            <w:r w:rsidR="00E847EA" w:rsidRPr="004E7F69">
              <w:rPr>
                <w:vertAlign w:val="superscript"/>
              </w:rPr>
              <w:fldChar w:fldCharType="end"/>
            </w:r>
          </w:p>
        </w:tc>
        <w:tc>
          <w:tcPr>
            <w:tcW w:w="4083" w:type="dxa"/>
          </w:tcPr>
          <w:p w14:paraId="4538A239" w14:textId="15155BE2" w:rsidR="004F672F" w:rsidRPr="004E7F69" w:rsidRDefault="004F672F" w:rsidP="004C348A">
            <w:pPr>
              <w:spacing w:before="120" w:after="120" w:line="23" w:lineRule="atLeast"/>
              <w:rPr>
                <w:vertAlign w:val="superscript"/>
              </w:rPr>
            </w:pPr>
            <w:r>
              <w:t>Moins courante</w:t>
            </w:r>
            <w:r w:rsidR="00E847EA" w:rsidRPr="004E7F69">
              <w:rPr>
                <w:vertAlign w:val="superscript"/>
              </w:rPr>
              <w:fldChar w:fldCharType="begin" w:fldLock="1"/>
            </w:r>
            <w:r w:rsidR="00E847EA" w:rsidRPr="004E7F69">
              <w:rPr>
                <w:vertAlign w:val="superscript"/>
              </w:rPr>
              <w:instrText xml:space="preserve"> NOTEREF _Ref107905468 \h  \* MERGEFORMAT </w:instrText>
            </w:r>
            <w:r w:rsidR="00E847EA" w:rsidRPr="004E7F69">
              <w:rPr>
                <w:vertAlign w:val="superscript"/>
              </w:rPr>
            </w:r>
            <w:r w:rsidR="00E847EA" w:rsidRPr="004E7F69">
              <w:rPr>
                <w:vertAlign w:val="superscript"/>
              </w:rPr>
              <w:fldChar w:fldCharType="separate"/>
            </w:r>
            <w:r w:rsidR="00E847EA" w:rsidRPr="004E7F69">
              <w:rPr>
                <w:vertAlign w:val="superscript"/>
              </w:rPr>
              <w:t>1</w:t>
            </w:r>
            <w:r w:rsidR="00E847EA" w:rsidRPr="004E7F69">
              <w:rPr>
                <w:vertAlign w:val="superscript"/>
              </w:rPr>
              <w:fldChar w:fldCharType="end"/>
            </w:r>
          </w:p>
        </w:tc>
        <w:tc>
          <w:tcPr>
            <w:tcW w:w="3288" w:type="dxa"/>
          </w:tcPr>
          <w:p w14:paraId="28B4437E" w14:textId="422FCBCD" w:rsidR="004F672F" w:rsidRPr="004E7F69" w:rsidRDefault="004F672F" w:rsidP="004C348A">
            <w:pPr>
              <w:spacing w:before="120" w:after="120" w:line="23" w:lineRule="atLeast"/>
              <w:rPr>
                <w:vertAlign w:val="superscript"/>
              </w:rPr>
            </w:pPr>
            <w:r>
              <w:t>Moins courante</w:t>
            </w:r>
            <w:r w:rsidR="00E847EA" w:rsidRPr="004E7F69">
              <w:rPr>
                <w:vertAlign w:val="superscript"/>
              </w:rPr>
              <w:fldChar w:fldCharType="begin" w:fldLock="1"/>
            </w:r>
            <w:r w:rsidR="00E847EA" w:rsidRPr="004E7F69">
              <w:rPr>
                <w:vertAlign w:val="superscript"/>
              </w:rPr>
              <w:instrText xml:space="preserve"> NOTEREF _Ref107905526 \h  \* MERGEFORMAT </w:instrText>
            </w:r>
            <w:r w:rsidR="00E847EA" w:rsidRPr="004E7F69">
              <w:rPr>
                <w:vertAlign w:val="superscript"/>
              </w:rPr>
            </w:r>
            <w:r w:rsidR="00E847EA" w:rsidRPr="004E7F69">
              <w:rPr>
                <w:vertAlign w:val="superscript"/>
              </w:rPr>
              <w:fldChar w:fldCharType="separate"/>
            </w:r>
            <w:r w:rsidR="00E847EA" w:rsidRPr="004E7F69">
              <w:rPr>
                <w:vertAlign w:val="superscript"/>
              </w:rPr>
              <w:t>3</w:t>
            </w:r>
            <w:r w:rsidR="00E847EA" w:rsidRPr="004E7F69">
              <w:rPr>
                <w:vertAlign w:val="superscript"/>
              </w:rPr>
              <w:fldChar w:fldCharType="end"/>
            </w:r>
          </w:p>
        </w:tc>
      </w:tr>
      <w:tr w:rsidR="004F672F" w:rsidRPr="004E7F69" w14:paraId="1F14B64B" w14:textId="77777777" w:rsidTr="004670D1">
        <w:trPr>
          <w:cantSplit/>
        </w:trPr>
        <w:tc>
          <w:tcPr>
            <w:tcW w:w="2405" w:type="dxa"/>
          </w:tcPr>
          <w:p w14:paraId="32225195" w14:textId="7FA7A5D5" w:rsidR="004F672F" w:rsidRPr="004E7F69" w:rsidRDefault="004F672F" w:rsidP="004C348A">
            <w:pPr>
              <w:spacing w:before="120" w:after="120" w:line="23" w:lineRule="atLeast"/>
              <w:rPr>
                <w:b/>
              </w:rPr>
            </w:pPr>
            <w:r>
              <w:rPr>
                <w:b/>
              </w:rPr>
              <w:t>Apparition d</w:t>
            </w:r>
            <w:r w:rsidR="00F258E3">
              <w:rPr>
                <w:b/>
              </w:rPr>
              <w:t>’</w:t>
            </w:r>
            <w:r>
              <w:rPr>
                <w:b/>
              </w:rPr>
              <w:t xml:space="preserve">une éruption cutanée </w:t>
            </w:r>
          </w:p>
        </w:tc>
        <w:tc>
          <w:tcPr>
            <w:tcW w:w="3373" w:type="dxa"/>
          </w:tcPr>
          <w:p w14:paraId="69A081B7" w14:textId="1439A888" w:rsidR="004F672F" w:rsidRPr="004E7F69" w:rsidRDefault="004F672F" w:rsidP="004C348A">
            <w:pPr>
              <w:spacing w:before="120" w:after="120" w:line="23" w:lineRule="atLeast"/>
            </w:pPr>
            <w:r>
              <w:t>Apparaît sur le site d</w:t>
            </w:r>
            <w:r w:rsidR="00F258E3">
              <w:t>’</w:t>
            </w:r>
            <w:proofErr w:type="spellStart"/>
            <w:r>
              <w:t>inoculation</w:t>
            </w:r>
            <w:r w:rsidR="00E847EA" w:rsidRPr="004E7F69">
              <w:rPr>
                <w:vertAlign w:val="superscript"/>
              </w:rPr>
              <w:fldChar w:fldCharType="begin" w:fldLock="1"/>
            </w:r>
            <w:r w:rsidR="00E847EA" w:rsidRPr="004E7F69">
              <w:rPr>
                <w:vertAlign w:val="superscript"/>
              </w:rPr>
              <w:instrText xml:space="preserve"> NOTEREF _Ref107906408 \h  \* MERGEFORMAT </w:instrText>
            </w:r>
            <w:r w:rsidR="00E847EA" w:rsidRPr="004E7F69">
              <w:rPr>
                <w:vertAlign w:val="superscript"/>
              </w:rPr>
            </w:r>
            <w:r w:rsidR="00E847EA" w:rsidRPr="004E7F69">
              <w:rPr>
                <w:vertAlign w:val="superscript"/>
              </w:rPr>
              <w:fldChar w:fldCharType="separate"/>
            </w:r>
            <w:r w:rsidR="00E847EA" w:rsidRPr="004E7F69">
              <w:rPr>
                <w:vertAlign w:val="superscript"/>
              </w:rPr>
              <w:t>b</w:t>
            </w:r>
            <w:proofErr w:type="spellEnd"/>
            <w:r w:rsidR="00E847EA" w:rsidRPr="004E7F69">
              <w:rPr>
                <w:vertAlign w:val="superscript"/>
              </w:rPr>
              <w:fldChar w:fldCharType="end"/>
            </w:r>
            <w:r>
              <w:t>, puis peut apparaître sur d</w:t>
            </w:r>
            <w:r w:rsidR="00F258E3">
              <w:t>’</w:t>
            </w:r>
            <w:r>
              <w:t>autres parties du corps, y compris</w:t>
            </w:r>
            <w:r>
              <w:rPr>
                <w:vertAlign w:val="superscript"/>
              </w:rPr>
              <w:t>1</w:t>
            </w:r>
            <w:r>
              <w:t> :</w:t>
            </w:r>
          </w:p>
          <w:p w14:paraId="4D9D3959" w14:textId="08640B2D" w:rsidR="004F672F" w:rsidRPr="004E7F69" w:rsidRDefault="004F672F" w:rsidP="004F672F">
            <w:pPr>
              <w:pStyle w:val="ListParagraph"/>
              <w:numPr>
                <w:ilvl w:val="0"/>
                <w:numId w:val="13"/>
              </w:numPr>
              <w:spacing w:before="120" w:after="120" w:line="23" w:lineRule="atLeast"/>
              <w:ind w:left="320"/>
            </w:pPr>
            <w:proofErr w:type="gramStart"/>
            <w:r>
              <w:t>la</w:t>
            </w:r>
            <w:proofErr w:type="gramEnd"/>
            <w:r>
              <w:t xml:space="preserve"> muqueuse buccale; </w:t>
            </w:r>
          </w:p>
          <w:p w14:paraId="23ADEC71" w14:textId="010D7A0B" w:rsidR="004F672F" w:rsidRPr="004E7F69" w:rsidRDefault="004F672F" w:rsidP="004F672F">
            <w:pPr>
              <w:pStyle w:val="ListParagraph"/>
              <w:numPr>
                <w:ilvl w:val="0"/>
                <w:numId w:val="13"/>
              </w:numPr>
              <w:spacing w:before="120" w:after="120" w:line="23" w:lineRule="atLeast"/>
              <w:ind w:left="320"/>
            </w:pPr>
            <w:proofErr w:type="gramStart"/>
            <w:r>
              <w:t>la</w:t>
            </w:r>
            <w:proofErr w:type="gramEnd"/>
            <w:r>
              <w:t xml:space="preserve"> région génitale; </w:t>
            </w:r>
          </w:p>
          <w:p w14:paraId="62546E1C" w14:textId="7D0FB06A" w:rsidR="004F672F" w:rsidRPr="004E7F69" w:rsidRDefault="004F672F" w:rsidP="004F672F">
            <w:pPr>
              <w:pStyle w:val="ListParagraph"/>
              <w:numPr>
                <w:ilvl w:val="0"/>
                <w:numId w:val="13"/>
              </w:numPr>
              <w:spacing w:before="120" w:after="120" w:line="23" w:lineRule="atLeast"/>
              <w:ind w:left="320"/>
            </w:pPr>
            <w:proofErr w:type="gramStart"/>
            <w:r>
              <w:t>la</w:t>
            </w:r>
            <w:proofErr w:type="gramEnd"/>
            <w:r>
              <w:t xml:space="preserve"> conjonctive;</w:t>
            </w:r>
          </w:p>
          <w:p w14:paraId="5C1117D0" w14:textId="5DEFCA18" w:rsidR="004F672F" w:rsidRPr="004E7F69" w:rsidRDefault="004F672F" w:rsidP="004F672F">
            <w:pPr>
              <w:pStyle w:val="ListParagraph"/>
              <w:numPr>
                <w:ilvl w:val="0"/>
                <w:numId w:val="13"/>
              </w:numPr>
              <w:spacing w:before="120" w:after="120" w:line="23" w:lineRule="atLeast"/>
              <w:ind w:left="320"/>
            </w:pPr>
            <w:proofErr w:type="gramStart"/>
            <w:r>
              <w:t>la</w:t>
            </w:r>
            <w:proofErr w:type="gramEnd"/>
            <w:r>
              <w:t xml:space="preserve"> paume des mains;</w:t>
            </w:r>
          </w:p>
          <w:p w14:paraId="16CB7921" w14:textId="5328DC33" w:rsidR="004F672F" w:rsidRPr="004E7F69" w:rsidDel="00D25C6C" w:rsidRDefault="004F672F" w:rsidP="004F672F">
            <w:pPr>
              <w:pStyle w:val="ListParagraph"/>
              <w:numPr>
                <w:ilvl w:val="0"/>
                <w:numId w:val="13"/>
              </w:numPr>
              <w:spacing w:before="120" w:after="120" w:line="23" w:lineRule="atLeast"/>
              <w:ind w:left="320"/>
              <w:rPr>
                <w:vertAlign w:val="superscript"/>
              </w:rPr>
            </w:pPr>
            <w:proofErr w:type="gramStart"/>
            <w:r>
              <w:t>la</w:t>
            </w:r>
            <w:proofErr w:type="gramEnd"/>
            <w:r>
              <w:t xml:space="preserve"> plante des pieds.</w:t>
            </w:r>
          </w:p>
        </w:tc>
        <w:tc>
          <w:tcPr>
            <w:tcW w:w="4083" w:type="dxa"/>
          </w:tcPr>
          <w:p w14:paraId="16F2B66A" w14:textId="708DE552" w:rsidR="004F672F" w:rsidRPr="004E7F69" w:rsidRDefault="004F672F" w:rsidP="004C348A">
            <w:pPr>
              <w:spacing w:before="120" w:after="120" w:line="23" w:lineRule="atLeast"/>
            </w:pPr>
            <w:r>
              <w:t>Apparaît généralement sur la poitrine, le dos et le visage, puis s</w:t>
            </w:r>
            <w:r w:rsidR="00F258E3">
              <w:t>’</w:t>
            </w:r>
            <w:r>
              <w:t>étend à d</w:t>
            </w:r>
            <w:r w:rsidR="00F258E3">
              <w:t>’</w:t>
            </w:r>
            <w:r>
              <w:t>autres parties du corps</w:t>
            </w:r>
            <w:bookmarkStart w:id="5" w:name="_Ref107907372"/>
            <w:r w:rsidR="00E847EA" w:rsidRPr="004E7F69">
              <w:rPr>
                <w:rStyle w:val="EndnoteReference"/>
              </w:rPr>
              <w:endnoteReference w:id="6"/>
            </w:r>
            <w:bookmarkEnd w:id="5"/>
            <w:r w:rsidR="008A079E">
              <w:t>.</w:t>
            </w:r>
          </w:p>
          <w:p w14:paraId="784CC8A9" w14:textId="1E31809C" w:rsidR="004F672F" w:rsidRPr="004E7F69" w:rsidRDefault="004F672F" w:rsidP="004C348A">
            <w:pPr>
              <w:spacing w:before="120" w:after="120" w:line="23" w:lineRule="atLeast"/>
            </w:pPr>
            <w:r>
              <w:t>Dans de rares cas, des lésions peuvent apparaître sur la paume des mains et la plante des pieds, chez les personnes immunodéprimées</w:t>
            </w:r>
            <w:r w:rsidR="00E847EA" w:rsidRPr="004E7F69">
              <w:rPr>
                <w:rStyle w:val="EndnoteReference"/>
              </w:rPr>
              <w:endnoteReference w:id="7"/>
            </w:r>
            <w:r w:rsidR="008A079E">
              <w:t>.</w:t>
            </w:r>
          </w:p>
        </w:tc>
        <w:tc>
          <w:tcPr>
            <w:tcW w:w="3288" w:type="dxa"/>
          </w:tcPr>
          <w:p w14:paraId="34BAF887" w14:textId="2D201D26" w:rsidR="004F672F" w:rsidRPr="004E7F69" w:rsidRDefault="004F672F" w:rsidP="004C348A">
            <w:pPr>
              <w:spacing w:before="120" w:after="120" w:line="23" w:lineRule="atLeast"/>
            </w:pPr>
            <w:r>
              <w:t>En général, les vésicules apparaissent dans ou sur la bouche, puis peuvent apparaître sur d</w:t>
            </w:r>
            <w:r w:rsidR="00F258E3">
              <w:t>’</w:t>
            </w:r>
            <w:r>
              <w:t>autres parties du corps, notamment</w:t>
            </w:r>
            <w:r w:rsidR="008854E7" w:rsidRPr="004E7F69">
              <w:rPr>
                <w:vertAlign w:val="superscript"/>
              </w:rPr>
              <w:fldChar w:fldCharType="begin" w:fldLock="1"/>
            </w:r>
            <w:r w:rsidR="008854E7" w:rsidRPr="004E7F69">
              <w:rPr>
                <w:vertAlign w:val="superscript"/>
              </w:rPr>
              <w:instrText xml:space="preserve"> NOTEREF _Ref107905526 \h  \* MERGEFORMAT </w:instrText>
            </w:r>
            <w:r w:rsidR="008854E7" w:rsidRPr="004E7F69">
              <w:rPr>
                <w:vertAlign w:val="superscript"/>
              </w:rPr>
            </w:r>
            <w:r w:rsidR="008854E7" w:rsidRPr="004E7F69">
              <w:rPr>
                <w:vertAlign w:val="superscript"/>
              </w:rPr>
              <w:fldChar w:fldCharType="separate"/>
            </w:r>
            <w:r w:rsidR="008854E7" w:rsidRPr="004E7F69">
              <w:rPr>
                <w:vertAlign w:val="superscript"/>
              </w:rPr>
              <w:t>3</w:t>
            </w:r>
            <w:r w:rsidR="008854E7" w:rsidRPr="004E7F69">
              <w:rPr>
                <w:vertAlign w:val="superscript"/>
              </w:rPr>
              <w:fldChar w:fldCharType="end"/>
            </w:r>
          </w:p>
          <w:p w14:paraId="03DD13B6" w14:textId="2A098167" w:rsidR="004F672F" w:rsidRPr="004E7F69" w:rsidRDefault="004F672F" w:rsidP="004670D1">
            <w:pPr>
              <w:pStyle w:val="ListParagraph"/>
              <w:numPr>
                <w:ilvl w:val="0"/>
                <w:numId w:val="14"/>
              </w:numPr>
              <w:spacing w:before="120" w:after="120" w:line="23" w:lineRule="atLeast"/>
              <w:ind w:left="376"/>
            </w:pPr>
            <w:proofErr w:type="gramStart"/>
            <w:r>
              <w:t>la</w:t>
            </w:r>
            <w:proofErr w:type="gramEnd"/>
            <w:r>
              <w:t xml:space="preserve"> paume des mains;</w:t>
            </w:r>
          </w:p>
          <w:p w14:paraId="5349D73A" w14:textId="04C58EF2" w:rsidR="004F672F" w:rsidRPr="004E7F69" w:rsidRDefault="004F672F" w:rsidP="004670D1">
            <w:pPr>
              <w:pStyle w:val="ListParagraph"/>
              <w:numPr>
                <w:ilvl w:val="0"/>
                <w:numId w:val="14"/>
              </w:numPr>
              <w:spacing w:before="120" w:after="120" w:line="23" w:lineRule="atLeast"/>
              <w:ind w:left="376"/>
            </w:pPr>
            <w:proofErr w:type="gramStart"/>
            <w:r>
              <w:t>la</w:t>
            </w:r>
            <w:proofErr w:type="gramEnd"/>
            <w:r>
              <w:t xml:space="preserve"> plante des pieds;</w:t>
            </w:r>
            <w:r>
              <w:rPr>
                <w:vertAlign w:val="superscript"/>
              </w:rPr>
              <w:t xml:space="preserve"> </w:t>
            </w:r>
          </w:p>
          <w:p w14:paraId="52D2A90E" w14:textId="7447E267" w:rsidR="004F672F" w:rsidRPr="004E7F69" w:rsidRDefault="004F672F" w:rsidP="004670D1">
            <w:pPr>
              <w:pStyle w:val="ListParagraph"/>
              <w:numPr>
                <w:ilvl w:val="0"/>
                <w:numId w:val="14"/>
              </w:numPr>
              <w:spacing w:before="120" w:after="120" w:line="23" w:lineRule="atLeast"/>
              <w:ind w:left="376"/>
            </w:pPr>
            <w:proofErr w:type="gramStart"/>
            <w:r>
              <w:t>les</w:t>
            </w:r>
            <w:proofErr w:type="gramEnd"/>
            <w:r>
              <w:t xml:space="preserve"> genoux;</w:t>
            </w:r>
          </w:p>
          <w:p w14:paraId="76AC67E2" w14:textId="1FD2C7CE" w:rsidR="004F672F" w:rsidRPr="004E7F69" w:rsidRDefault="004F672F" w:rsidP="004670D1">
            <w:pPr>
              <w:pStyle w:val="ListParagraph"/>
              <w:numPr>
                <w:ilvl w:val="0"/>
                <w:numId w:val="14"/>
              </w:numPr>
              <w:spacing w:before="120" w:after="120" w:line="23" w:lineRule="atLeast"/>
              <w:ind w:left="376"/>
            </w:pPr>
            <w:proofErr w:type="gramStart"/>
            <w:r>
              <w:t>les</w:t>
            </w:r>
            <w:proofErr w:type="gramEnd"/>
            <w:r>
              <w:t xml:space="preserve"> coudes;</w:t>
            </w:r>
          </w:p>
          <w:p w14:paraId="4F1A3539" w14:textId="270FAFAA" w:rsidR="004F672F" w:rsidRPr="004E7F69" w:rsidRDefault="004F672F" w:rsidP="004670D1">
            <w:pPr>
              <w:pStyle w:val="ListParagraph"/>
              <w:numPr>
                <w:ilvl w:val="0"/>
                <w:numId w:val="14"/>
              </w:numPr>
              <w:spacing w:before="120" w:after="120" w:line="23" w:lineRule="atLeast"/>
              <w:ind w:left="376"/>
            </w:pPr>
            <w:proofErr w:type="gramStart"/>
            <w:r>
              <w:t>les</w:t>
            </w:r>
            <w:proofErr w:type="gramEnd"/>
            <w:r>
              <w:t xml:space="preserve"> fesses;</w:t>
            </w:r>
          </w:p>
          <w:p w14:paraId="3B78A9BE" w14:textId="4D469003" w:rsidR="004F672F" w:rsidRPr="004E7F69" w:rsidRDefault="004F672F" w:rsidP="004670D1">
            <w:pPr>
              <w:pStyle w:val="ListParagraph"/>
              <w:numPr>
                <w:ilvl w:val="0"/>
                <w:numId w:val="14"/>
              </w:numPr>
              <w:spacing w:before="120" w:after="120" w:line="23" w:lineRule="atLeast"/>
              <w:ind w:left="376"/>
              <w:rPr>
                <w:vertAlign w:val="superscript"/>
              </w:rPr>
            </w:pPr>
            <w:proofErr w:type="gramStart"/>
            <w:r>
              <w:t>la</w:t>
            </w:r>
            <w:proofErr w:type="gramEnd"/>
            <w:r>
              <w:t xml:space="preserve"> région génitale.</w:t>
            </w:r>
          </w:p>
        </w:tc>
      </w:tr>
      <w:tr w:rsidR="004F672F" w:rsidRPr="004E7F69" w14:paraId="75E3E657" w14:textId="77777777" w:rsidTr="004670D1">
        <w:trPr>
          <w:cantSplit/>
        </w:trPr>
        <w:tc>
          <w:tcPr>
            <w:tcW w:w="2405" w:type="dxa"/>
          </w:tcPr>
          <w:p w14:paraId="78A20DAB" w14:textId="7449DBF8" w:rsidR="004F672F" w:rsidRPr="004E7F69" w:rsidRDefault="004F672F" w:rsidP="004C348A">
            <w:pPr>
              <w:spacing w:before="120" w:after="120" w:line="23" w:lineRule="atLeast"/>
              <w:rPr>
                <w:b/>
              </w:rPr>
            </w:pPr>
            <w:r>
              <w:rPr>
                <w:b/>
              </w:rPr>
              <w:lastRenderedPageBreak/>
              <w:t>Progression de l</w:t>
            </w:r>
            <w:r w:rsidR="00F258E3">
              <w:rPr>
                <w:b/>
              </w:rPr>
              <w:t>’</w:t>
            </w:r>
            <w:r>
              <w:rPr>
                <w:b/>
              </w:rPr>
              <w:t>éruption cutanée</w:t>
            </w:r>
          </w:p>
        </w:tc>
        <w:tc>
          <w:tcPr>
            <w:tcW w:w="3373" w:type="dxa"/>
          </w:tcPr>
          <w:p w14:paraId="7BF362B0" w14:textId="2745156D" w:rsidR="004F672F" w:rsidRPr="004E7F69" w:rsidRDefault="004F672F" w:rsidP="004C348A">
            <w:pPr>
              <w:spacing w:before="120" w:after="120" w:line="23" w:lineRule="atLeast"/>
              <w:rPr>
                <w:vertAlign w:val="superscript"/>
              </w:rPr>
            </w:pPr>
            <w:r>
              <w:t>L</w:t>
            </w:r>
            <w:r w:rsidR="00F258E3">
              <w:t>’</w:t>
            </w:r>
            <w:r>
              <w:t>évolution est lente : macules, papules, vésicules, pustules et croûtes. Peut présenter une ombilication centrale</w:t>
            </w:r>
            <w:r w:rsidR="008854E7" w:rsidRPr="004E7F69">
              <w:rPr>
                <w:vertAlign w:val="superscript"/>
              </w:rPr>
              <w:fldChar w:fldCharType="begin" w:fldLock="1"/>
            </w:r>
            <w:r w:rsidR="008854E7" w:rsidRPr="004E7F69">
              <w:rPr>
                <w:vertAlign w:val="superscript"/>
              </w:rPr>
              <w:instrText xml:space="preserve"> NOTEREF _Ref107907003 \h  \* MERGEFORMAT </w:instrText>
            </w:r>
            <w:r w:rsidR="008854E7" w:rsidRPr="004E7F69">
              <w:rPr>
                <w:vertAlign w:val="superscript"/>
              </w:rPr>
            </w:r>
            <w:r w:rsidR="008854E7" w:rsidRPr="004E7F69">
              <w:rPr>
                <w:vertAlign w:val="superscript"/>
              </w:rPr>
              <w:fldChar w:fldCharType="separate"/>
            </w:r>
            <w:r w:rsidR="008854E7" w:rsidRPr="004E7F69">
              <w:rPr>
                <w:vertAlign w:val="superscript"/>
              </w:rPr>
              <w:t>4</w:t>
            </w:r>
            <w:r w:rsidR="008854E7" w:rsidRPr="004E7F69">
              <w:rPr>
                <w:vertAlign w:val="superscript"/>
              </w:rPr>
              <w:fldChar w:fldCharType="end"/>
            </w:r>
            <w:r>
              <w:rPr>
                <w:vertAlign w:val="superscript"/>
              </w:rPr>
              <w:t>,</w:t>
            </w:r>
            <w:bookmarkStart w:id="6" w:name="_Ref107907175"/>
            <w:r w:rsidR="008854E7" w:rsidRPr="004E7F69">
              <w:rPr>
                <w:rStyle w:val="EndnoteReference"/>
              </w:rPr>
              <w:endnoteReference w:id="8"/>
            </w:r>
            <w:bookmarkEnd w:id="6"/>
          </w:p>
          <w:p w14:paraId="431DE6A9" w14:textId="47766CA1" w:rsidR="004F672F" w:rsidRPr="004E7F69" w:rsidRDefault="004F672F" w:rsidP="004C348A">
            <w:pPr>
              <w:spacing w:before="120" w:after="120" w:line="23" w:lineRule="atLeast"/>
            </w:pPr>
            <w:r>
              <w:t xml:space="preserve">Les lésions peuvent se développer simultanément et évoluer </w:t>
            </w:r>
            <w:proofErr w:type="spellStart"/>
            <w:r>
              <w:t>ensemble</w:t>
            </w:r>
            <w:r w:rsidR="008854E7" w:rsidRPr="004E7F69">
              <w:rPr>
                <w:vertAlign w:val="superscript"/>
              </w:rPr>
              <w:fldChar w:fldCharType="begin" w:fldLock="1"/>
            </w:r>
            <w:r w:rsidR="008854E7" w:rsidRPr="004E7F69">
              <w:rPr>
                <w:vertAlign w:val="superscript"/>
              </w:rPr>
              <w:instrText xml:space="preserve"> NOTEREF _Ref107906408 \h  \* MERGEFORMAT </w:instrText>
            </w:r>
            <w:r w:rsidR="008854E7" w:rsidRPr="004E7F69">
              <w:rPr>
                <w:vertAlign w:val="superscript"/>
              </w:rPr>
            </w:r>
            <w:r w:rsidR="008854E7" w:rsidRPr="004E7F69">
              <w:rPr>
                <w:vertAlign w:val="superscript"/>
              </w:rPr>
              <w:fldChar w:fldCharType="separate"/>
            </w:r>
            <w:r w:rsidR="008854E7" w:rsidRPr="004E7F69">
              <w:rPr>
                <w:vertAlign w:val="superscript"/>
              </w:rPr>
              <w:t>b</w:t>
            </w:r>
            <w:proofErr w:type="spellEnd"/>
            <w:r w:rsidR="008854E7" w:rsidRPr="004E7F69">
              <w:rPr>
                <w:vertAlign w:val="superscript"/>
              </w:rPr>
              <w:fldChar w:fldCharType="end"/>
            </w:r>
            <w:r>
              <w:t xml:space="preserve"> sur une partie donnée du corps (c</w:t>
            </w:r>
            <w:r w:rsidR="00F258E3">
              <w:t>’</w:t>
            </w:r>
            <w:r>
              <w:t>est-à-dire monomorphes)</w:t>
            </w:r>
            <w:r w:rsidR="008854E7" w:rsidRPr="004E7F69">
              <w:rPr>
                <w:vertAlign w:val="superscript"/>
              </w:rPr>
              <w:fldChar w:fldCharType="begin" w:fldLock="1"/>
            </w:r>
            <w:r w:rsidR="008854E7" w:rsidRPr="004E7F69">
              <w:rPr>
                <w:vertAlign w:val="superscript"/>
              </w:rPr>
              <w:instrText xml:space="preserve"> NOTEREF _Ref107907175 \h  \* MERGEFORMAT </w:instrText>
            </w:r>
            <w:r w:rsidR="008854E7" w:rsidRPr="004E7F69">
              <w:rPr>
                <w:vertAlign w:val="superscript"/>
              </w:rPr>
            </w:r>
            <w:r w:rsidR="008854E7" w:rsidRPr="004E7F69">
              <w:rPr>
                <w:vertAlign w:val="superscript"/>
              </w:rPr>
              <w:fldChar w:fldCharType="separate"/>
            </w:r>
            <w:r w:rsidR="008854E7" w:rsidRPr="004E7F69">
              <w:rPr>
                <w:vertAlign w:val="superscript"/>
              </w:rPr>
              <w:t>8</w:t>
            </w:r>
            <w:r w:rsidR="008854E7" w:rsidRPr="004E7F69">
              <w:rPr>
                <w:vertAlign w:val="superscript"/>
              </w:rPr>
              <w:fldChar w:fldCharType="end"/>
            </w:r>
          </w:p>
        </w:tc>
        <w:tc>
          <w:tcPr>
            <w:tcW w:w="4083" w:type="dxa"/>
          </w:tcPr>
          <w:p w14:paraId="6D26AA72" w14:textId="7F270947" w:rsidR="004F672F" w:rsidRPr="004E7F69" w:rsidRDefault="004F672F" w:rsidP="004C348A">
            <w:pPr>
              <w:spacing w:before="120" w:after="120" w:line="23" w:lineRule="atLeast"/>
              <w:rPr>
                <w:vertAlign w:val="superscript"/>
              </w:rPr>
            </w:pPr>
            <w:r>
              <w:rPr>
                <w:b/>
                <w:i/>
              </w:rPr>
              <w:t>Personnes non vaccinées :</w:t>
            </w:r>
            <w:r>
              <w:t xml:space="preserve"> Éruption pléomorphe; évolution rapide vers des macules, des papules, des vésicules et des croûtes</w:t>
            </w:r>
            <w:r w:rsidR="008854E7" w:rsidRPr="004E7F69">
              <w:rPr>
                <w:vertAlign w:val="superscript"/>
              </w:rPr>
              <w:fldChar w:fldCharType="begin" w:fldLock="1"/>
            </w:r>
            <w:r w:rsidR="008854E7" w:rsidRPr="004E7F69">
              <w:rPr>
                <w:vertAlign w:val="superscript"/>
              </w:rPr>
              <w:instrText xml:space="preserve"> NOTEREF _Ref107905505 \h  \* MERGEFORMAT </w:instrText>
            </w:r>
            <w:r w:rsidR="008854E7" w:rsidRPr="004E7F69">
              <w:rPr>
                <w:vertAlign w:val="superscript"/>
              </w:rPr>
            </w:r>
            <w:r w:rsidR="008854E7" w:rsidRPr="004E7F69">
              <w:rPr>
                <w:vertAlign w:val="superscript"/>
              </w:rPr>
              <w:fldChar w:fldCharType="separate"/>
            </w:r>
            <w:r w:rsidR="008854E7" w:rsidRPr="004E7F69">
              <w:rPr>
                <w:vertAlign w:val="superscript"/>
              </w:rPr>
              <w:t>2</w:t>
            </w:r>
            <w:r w:rsidR="008854E7" w:rsidRPr="004E7F69">
              <w:rPr>
                <w:vertAlign w:val="superscript"/>
              </w:rPr>
              <w:fldChar w:fldCharType="end"/>
            </w:r>
            <w:r w:rsidR="008A079E">
              <w:t>.</w:t>
            </w:r>
          </w:p>
          <w:p w14:paraId="7F65DB6F" w14:textId="14F8C80F" w:rsidR="004F672F" w:rsidRPr="004E7F69" w:rsidRDefault="004F672F" w:rsidP="004C348A">
            <w:pPr>
              <w:spacing w:before="120" w:after="120" w:line="23" w:lineRule="atLeast"/>
              <w:rPr>
                <w:vertAlign w:val="superscript"/>
              </w:rPr>
            </w:pPr>
            <w:r>
              <w:rPr>
                <w:b/>
                <w:i/>
              </w:rPr>
              <w:t xml:space="preserve">Infection </w:t>
            </w:r>
            <w:proofErr w:type="spellStart"/>
            <w:r>
              <w:rPr>
                <w:b/>
                <w:i/>
              </w:rPr>
              <w:t>postvaccinale</w:t>
            </w:r>
            <w:proofErr w:type="spellEnd"/>
            <w:r>
              <w:rPr>
                <w:b/>
                <w:i/>
              </w:rPr>
              <w:t> </w:t>
            </w:r>
            <w:r>
              <w:t xml:space="preserve">: En général, des lésions </w:t>
            </w:r>
            <w:proofErr w:type="spellStart"/>
            <w:r>
              <w:t>maculo</w:t>
            </w:r>
            <w:proofErr w:type="spellEnd"/>
            <w:r>
              <w:t>-papuleuses qui n</w:t>
            </w:r>
            <w:r w:rsidR="00F258E3">
              <w:t>’</w:t>
            </w:r>
            <w:r>
              <w:t>évoluent pas vers des vésicules</w:t>
            </w:r>
            <w:r w:rsidR="008854E7" w:rsidRPr="004E7F69">
              <w:rPr>
                <w:vertAlign w:val="superscript"/>
              </w:rPr>
              <w:fldChar w:fldCharType="begin" w:fldLock="1"/>
            </w:r>
            <w:r w:rsidR="008854E7" w:rsidRPr="004E7F69">
              <w:rPr>
                <w:vertAlign w:val="superscript"/>
              </w:rPr>
              <w:instrText xml:space="preserve"> NOTEREF _Ref107905505 \h  \* MERGEFORMAT </w:instrText>
            </w:r>
            <w:r w:rsidR="008854E7" w:rsidRPr="004E7F69">
              <w:rPr>
                <w:vertAlign w:val="superscript"/>
              </w:rPr>
            </w:r>
            <w:r w:rsidR="008854E7" w:rsidRPr="004E7F69">
              <w:rPr>
                <w:vertAlign w:val="superscript"/>
              </w:rPr>
              <w:fldChar w:fldCharType="separate"/>
            </w:r>
            <w:r w:rsidR="008854E7" w:rsidRPr="004E7F69">
              <w:rPr>
                <w:vertAlign w:val="superscript"/>
              </w:rPr>
              <w:t>2</w:t>
            </w:r>
            <w:r w:rsidR="008854E7" w:rsidRPr="004E7F69">
              <w:rPr>
                <w:vertAlign w:val="superscript"/>
              </w:rPr>
              <w:fldChar w:fldCharType="end"/>
            </w:r>
            <w:r w:rsidR="008A079E">
              <w:t>.</w:t>
            </w:r>
          </w:p>
          <w:p w14:paraId="01A033A1" w14:textId="4DC0F00B" w:rsidR="004F672F" w:rsidRPr="004E7F69" w:rsidRDefault="004F672F" w:rsidP="004C348A">
            <w:pPr>
              <w:spacing w:before="120" w:after="120" w:line="23" w:lineRule="atLeast"/>
              <w:rPr>
                <w:vertAlign w:val="superscript"/>
              </w:rPr>
            </w:pPr>
            <w:r>
              <w:t>Les lésions se produisent en « groupes », les anciennes et les nouvelles lésions étant présentes simultanément</w:t>
            </w:r>
            <w:r w:rsidR="008854E7" w:rsidRPr="004E7F69">
              <w:rPr>
                <w:vertAlign w:val="superscript"/>
              </w:rPr>
              <w:fldChar w:fldCharType="begin" w:fldLock="1"/>
            </w:r>
            <w:r w:rsidR="008854E7" w:rsidRPr="004E7F69">
              <w:rPr>
                <w:vertAlign w:val="superscript"/>
              </w:rPr>
              <w:instrText xml:space="preserve"> NOTEREF _Ref107905505 \h  \* MERGEFORMAT </w:instrText>
            </w:r>
            <w:r w:rsidR="008854E7" w:rsidRPr="004E7F69">
              <w:rPr>
                <w:vertAlign w:val="superscript"/>
              </w:rPr>
            </w:r>
            <w:r w:rsidR="008854E7" w:rsidRPr="004E7F69">
              <w:rPr>
                <w:vertAlign w:val="superscript"/>
              </w:rPr>
              <w:fldChar w:fldCharType="separate"/>
            </w:r>
            <w:r w:rsidR="008854E7" w:rsidRPr="004E7F69">
              <w:rPr>
                <w:vertAlign w:val="superscript"/>
              </w:rPr>
              <w:t>2</w:t>
            </w:r>
            <w:r w:rsidR="008854E7" w:rsidRPr="004E7F69">
              <w:rPr>
                <w:vertAlign w:val="superscript"/>
              </w:rPr>
              <w:fldChar w:fldCharType="end"/>
            </w:r>
            <w:r w:rsidR="008A079E">
              <w:t>.</w:t>
            </w:r>
          </w:p>
        </w:tc>
        <w:tc>
          <w:tcPr>
            <w:tcW w:w="3288" w:type="dxa"/>
          </w:tcPr>
          <w:p w14:paraId="79E9562A" w14:textId="2769FA2D" w:rsidR="004F672F" w:rsidRPr="004E7F69" w:rsidRDefault="004F672F" w:rsidP="004C348A">
            <w:pPr>
              <w:spacing w:before="120" w:after="120" w:line="23" w:lineRule="atLeast"/>
            </w:pPr>
            <w:r>
              <w:t>Macules, parfois accompagnées de vésicules</w:t>
            </w:r>
            <w:bookmarkStart w:id="7" w:name="_Ref107907314"/>
            <w:r w:rsidR="008854E7" w:rsidRPr="004E7F69">
              <w:rPr>
                <w:rStyle w:val="EndnoteReference"/>
              </w:rPr>
              <w:endnoteReference w:id="9"/>
            </w:r>
            <w:bookmarkEnd w:id="7"/>
            <w:r w:rsidR="008A079E">
              <w:t>.</w:t>
            </w:r>
          </w:p>
          <w:p w14:paraId="079B8FAF" w14:textId="024AEA7D" w:rsidR="004F672F" w:rsidRPr="004E7F69" w:rsidRDefault="004F672F" w:rsidP="004C348A">
            <w:pPr>
              <w:spacing w:before="120" w:after="120" w:line="23" w:lineRule="atLeast"/>
              <w:rPr>
                <w:vertAlign w:val="superscript"/>
              </w:rPr>
            </w:pPr>
            <w:r>
              <w:t>Les vésicules peuvent s</w:t>
            </w:r>
            <w:r w:rsidR="00F258E3">
              <w:t>’</w:t>
            </w:r>
            <w:r>
              <w:t>ouvrir et évoluer pour former des croûtes</w:t>
            </w:r>
            <w:r w:rsidR="008854E7" w:rsidRPr="004E7F69">
              <w:rPr>
                <w:vertAlign w:val="superscript"/>
              </w:rPr>
              <w:fldChar w:fldCharType="begin" w:fldLock="1"/>
            </w:r>
            <w:r w:rsidR="008854E7" w:rsidRPr="004E7F69">
              <w:rPr>
                <w:vertAlign w:val="superscript"/>
              </w:rPr>
              <w:instrText xml:space="preserve"> NOTEREF _Ref107907314 \h  \* MERGEFORMAT </w:instrText>
            </w:r>
            <w:r w:rsidR="008854E7" w:rsidRPr="004E7F69">
              <w:rPr>
                <w:vertAlign w:val="superscript"/>
              </w:rPr>
            </w:r>
            <w:r w:rsidR="008854E7" w:rsidRPr="004E7F69">
              <w:rPr>
                <w:vertAlign w:val="superscript"/>
              </w:rPr>
              <w:fldChar w:fldCharType="separate"/>
            </w:r>
            <w:r w:rsidR="008854E7" w:rsidRPr="004E7F69">
              <w:rPr>
                <w:vertAlign w:val="superscript"/>
              </w:rPr>
              <w:t>9</w:t>
            </w:r>
            <w:r w:rsidR="008854E7" w:rsidRPr="004E7F69">
              <w:rPr>
                <w:vertAlign w:val="superscript"/>
              </w:rPr>
              <w:fldChar w:fldCharType="end"/>
            </w:r>
            <w:r w:rsidR="008A079E">
              <w:t>.</w:t>
            </w:r>
          </w:p>
        </w:tc>
      </w:tr>
      <w:tr w:rsidR="004F672F" w:rsidRPr="004E7F69" w14:paraId="07F0353B" w14:textId="77777777" w:rsidTr="004670D1">
        <w:trPr>
          <w:cantSplit/>
        </w:trPr>
        <w:tc>
          <w:tcPr>
            <w:tcW w:w="2405" w:type="dxa"/>
          </w:tcPr>
          <w:p w14:paraId="43089988" w14:textId="52E8D5F9" w:rsidR="004F672F" w:rsidRPr="004E7F69" w:rsidRDefault="004F672F" w:rsidP="004C348A">
            <w:pPr>
              <w:spacing w:before="120" w:after="120" w:line="23" w:lineRule="atLeast"/>
              <w:rPr>
                <w:b/>
              </w:rPr>
            </w:pPr>
            <w:r>
              <w:rPr>
                <w:b/>
              </w:rPr>
              <w:t>Durée de l</w:t>
            </w:r>
            <w:r w:rsidR="00F258E3">
              <w:rPr>
                <w:b/>
              </w:rPr>
              <w:t>’</w:t>
            </w:r>
            <w:r>
              <w:rPr>
                <w:b/>
              </w:rPr>
              <w:t xml:space="preserve">éruption cutanée </w:t>
            </w:r>
          </w:p>
        </w:tc>
        <w:tc>
          <w:tcPr>
            <w:tcW w:w="3373" w:type="dxa"/>
          </w:tcPr>
          <w:p w14:paraId="3BF6CF0C" w14:textId="5A608D17" w:rsidR="004F672F" w:rsidRPr="004E7F69" w:rsidRDefault="004F672F" w:rsidP="004C348A">
            <w:pPr>
              <w:spacing w:before="120" w:after="120" w:line="23" w:lineRule="atLeast"/>
              <w:rPr>
                <w:vertAlign w:val="superscript"/>
              </w:rPr>
            </w:pPr>
            <w:r>
              <w:t>De 14 à 28 jours</w:t>
            </w:r>
            <w:r w:rsidR="008854E7" w:rsidRPr="004E7F69">
              <w:rPr>
                <w:vertAlign w:val="superscript"/>
              </w:rPr>
              <w:fldChar w:fldCharType="begin" w:fldLock="1"/>
            </w:r>
            <w:r w:rsidR="008854E7" w:rsidRPr="004E7F69">
              <w:rPr>
                <w:vertAlign w:val="superscript"/>
              </w:rPr>
              <w:instrText xml:space="preserve"> NOTEREF _Ref107905468 \h  \* MERGEFORMAT </w:instrText>
            </w:r>
            <w:r w:rsidR="008854E7" w:rsidRPr="004E7F69">
              <w:rPr>
                <w:vertAlign w:val="superscript"/>
              </w:rPr>
            </w:r>
            <w:r w:rsidR="008854E7" w:rsidRPr="004E7F69">
              <w:rPr>
                <w:vertAlign w:val="superscript"/>
              </w:rPr>
              <w:fldChar w:fldCharType="separate"/>
            </w:r>
            <w:r w:rsidR="008854E7" w:rsidRPr="004E7F69">
              <w:rPr>
                <w:vertAlign w:val="superscript"/>
              </w:rPr>
              <w:t>1</w:t>
            </w:r>
            <w:r w:rsidR="008854E7" w:rsidRPr="004E7F69">
              <w:rPr>
                <w:vertAlign w:val="superscript"/>
              </w:rPr>
              <w:fldChar w:fldCharType="end"/>
            </w:r>
          </w:p>
        </w:tc>
        <w:tc>
          <w:tcPr>
            <w:tcW w:w="4083" w:type="dxa"/>
          </w:tcPr>
          <w:p w14:paraId="0671D4A2" w14:textId="236F4513" w:rsidR="004F672F" w:rsidRPr="004E7F69" w:rsidRDefault="004F672F" w:rsidP="008854E7">
            <w:pPr>
              <w:spacing w:before="120" w:after="240" w:line="23" w:lineRule="atLeast"/>
              <w:rPr>
                <w:vertAlign w:val="superscript"/>
              </w:rPr>
            </w:pPr>
            <w:r>
              <w:rPr>
                <w:b/>
                <w:i/>
              </w:rPr>
              <w:t>Personnes non vaccinées </w:t>
            </w:r>
            <w:r>
              <w:t>: de 4 à 7 jours</w:t>
            </w:r>
            <w:r w:rsidR="008854E7" w:rsidRPr="004E7F69">
              <w:rPr>
                <w:vertAlign w:val="superscript"/>
              </w:rPr>
              <w:fldChar w:fldCharType="begin" w:fldLock="1"/>
            </w:r>
            <w:r w:rsidR="008854E7" w:rsidRPr="004E7F69">
              <w:rPr>
                <w:vertAlign w:val="superscript"/>
              </w:rPr>
              <w:instrText xml:space="preserve"> NOTEREF _Ref107907372 \h  \* MERGEFORMAT </w:instrText>
            </w:r>
            <w:r w:rsidR="008854E7" w:rsidRPr="004E7F69">
              <w:rPr>
                <w:vertAlign w:val="superscript"/>
              </w:rPr>
            </w:r>
            <w:r w:rsidR="008854E7" w:rsidRPr="004E7F69">
              <w:rPr>
                <w:vertAlign w:val="superscript"/>
              </w:rPr>
              <w:fldChar w:fldCharType="separate"/>
            </w:r>
            <w:r w:rsidR="008854E7" w:rsidRPr="004E7F69">
              <w:rPr>
                <w:vertAlign w:val="superscript"/>
              </w:rPr>
              <w:t>6</w:t>
            </w:r>
            <w:r w:rsidR="008854E7" w:rsidRPr="004E7F69">
              <w:rPr>
                <w:vertAlign w:val="superscript"/>
              </w:rPr>
              <w:fldChar w:fldCharType="end"/>
            </w:r>
          </w:p>
          <w:p w14:paraId="57F6F316" w14:textId="466FE061" w:rsidR="004F672F" w:rsidRPr="004E7F69" w:rsidRDefault="004F672F" w:rsidP="004C348A">
            <w:pPr>
              <w:spacing w:before="120" w:after="120" w:line="23" w:lineRule="atLeast"/>
              <w:rPr>
                <w:vertAlign w:val="superscript"/>
              </w:rPr>
            </w:pPr>
            <w:r>
              <w:rPr>
                <w:b/>
                <w:i/>
              </w:rPr>
              <w:t xml:space="preserve">Infection </w:t>
            </w:r>
            <w:proofErr w:type="spellStart"/>
            <w:r>
              <w:rPr>
                <w:b/>
                <w:i/>
              </w:rPr>
              <w:t>postvaccinale</w:t>
            </w:r>
            <w:proofErr w:type="spellEnd"/>
            <w:r>
              <w:rPr>
                <w:b/>
                <w:i/>
              </w:rPr>
              <w:t> :</w:t>
            </w:r>
            <w:r>
              <w:t xml:space="preserve"> Durée plus courte de la maladie par rapport aux personnes non vaccinées</w:t>
            </w:r>
            <w:r w:rsidR="008854E7" w:rsidRPr="004E7F69">
              <w:rPr>
                <w:vertAlign w:val="superscript"/>
              </w:rPr>
              <w:fldChar w:fldCharType="begin" w:fldLock="1"/>
            </w:r>
            <w:r w:rsidR="008854E7" w:rsidRPr="004E7F69">
              <w:rPr>
                <w:vertAlign w:val="superscript"/>
              </w:rPr>
              <w:instrText xml:space="preserve"> NOTEREF _Ref107907372 \h  \* MERGEFORMAT </w:instrText>
            </w:r>
            <w:r w:rsidR="008854E7" w:rsidRPr="004E7F69">
              <w:rPr>
                <w:vertAlign w:val="superscript"/>
              </w:rPr>
            </w:r>
            <w:r w:rsidR="008854E7" w:rsidRPr="004E7F69">
              <w:rPr>
                <w:vertAlign w:val="superscript"/>
              </w:rPr>
              <w:fldChar w:fldCharType="separate"/>
            </w:r>
            <w:r w:rsidR="008854E7" w:rsidRPr="004E7F69">
              <w:rPr>
                <w:vertAlign w:val="superscript"/>
              </w:rPr>
              <w:t>6</w:t>
            </w:r>
            <w:r w:rsidR="008854E7" w:rsidRPr="004E7F69">
              <w:rPr>
                <w:vertAlign w:val="superscript"/>
              </w:rPr>
              <w:fldChar w:fldCharType="end"/>
            </w:r>
          </w:p>
        </w:tc>
        <w:tc>
          <w:tcPr>
            <w:tcW w:w="3288" w:type="dxa"/>
          </w:tcPr>
          <w:p w14:paraId="37D88196" w14:textId="2A6A0006" w:rsidR="004F672F" w:rsidRPr="004E7F69" w:rsidRDefault="004F672F" w:rsidP="004C348A">
            <w:pPr>
              <w:spacing w:before="120" w:after="120" w:line="23" w:lineRule="atLeast"/>
              <w:rPr>
                <w:vertAlign w:val="superscript"/>
              </w:rPr>
            </w:pPr>
            <w:r>
              <w:t>De 7 à 10 jours</w:t>
            </w:r>
            <w:r w:rsidR="008854E7" w:rsidRPr="004E7F69">
              <w:rPr>
                <w:vertAlign w:val="superscript"/>
              </w:rPr>
              <w:fldChar w:fldCharType="begin" w:fldLock="1"/>
            </w:r>
            <w:r w:rsidR="008854E7" w:rsidRPr="004E7F69">
              <w:rPr>
                <w:vertAlign w:val="superscript"/>
              </w:rPr>
              <w:instrText xml:space="preserve"> NOTEREF _Ref107905526 \h  \* MERGEFORMAT </w:instrText>
            </w:r>
            <w:r w:rsidR="008854E7" w:rsidRPr="004E7F69">
              <w:rPr>
                <w:vertAlign w:val="superscript"/>
              </w:rPr>
            </w:r>
            <w:r w:rsidR="008854E7" w:rsidRPr="004E7F69">
              <w:rPr>
                <w:vertAlign w:val="superscript"/>
              </w:rPr>
              <w:fldChar w:fldCharType="separate"/>
            </w:r>
            <w:r w:rsidR="008854E7" w:rsidRPr="004E7F69">
              <w:rPr>
                <w:vertAlign w:val="superscript"/>
              </w:rPr>
              <w:t>3</w:t>
            </w:r>
            <w:r w:rsidR="008854E7" w:rsidRPr="004E7F69">
              <w:rPr>
                <w:vertAlign w:val="superscript"/>
              </w:rPr>
              <w:fldChar w:fldCharType="end"/>
            </w:r>
          </w:p>
        </w:tc>
      </w:tr>
      <w:tr w:rsidR="004F672F" w:rsidRPr="004E7F69" w14:paraId="14D2FE6C" w14:textId="77777777" w:rsidTr="004670D1">
        <w:trPr>
          <w:cantSplit/>
        </w:trPr>
        <w:tc>
          <w:tcPr>
            <w:tcW w:w="2405" w:type="dxa"/>
          </w:tcPr>
          <w:p w14:paraId="2536D4D4" w14:textId="77777777" w:rsidR="004F672F" w:rsidRPr="004E7F69" w:rsidRDefault="004F672F" w:rsidP="004C348A">
            <w:pPr>
              <w:spacing w:before="120" w:after="120" w:line="23" w:lineRule="atLeast"/>
              <w:rPr>
                <w:b/>
              </w:rPr>
            </w:pPr>
            <w:r>
              <w:rPr>
                <w:b/>
              </w:rPr>
              <w:lastRenderedPageBreak/>
              <w:t>Renseignements sur les tests de dépistage</w:t>
            </w:r>
          </w:p>
        </w:tc>
        <w:tc>
          <w:tcPr>
            <w:tcW w:w="3373" w:type="dxa"/>
          </w:tcPr>
          <w:p w14:paraId="438F8BED" w14:textId="77777777" w:rsidR="004F672F" w:rsidRPr="004E7F69" w:rsidRDefault="007A6E4A" w:rsidP="004C348A">
            <w:pPr>
              <w:spacing w:before="120" w:after="120" w:line="23" w:lineRule="atLeast"/>
              <w:rPr>
                <w:color w:val="0000FF"/>
              </w:rPr>
            </w:pPr>
            <w:hyperlink r:id="rId12" w:history="1">
              <w:r w:rsidR="004E7F69">
                <w:rPr>
                  <w:rStyle w:val="Hyperlink"/>
                </w:rPr>
                <w:t>Virus de la variole du singe | Santé publique Ontario</w:t>
              </w:r>
            </w:hyperlink>
          </w:p>
          <w:p w14:paraId="74F7E4CD" w14:textId="588969AD" w:rsidR="004F672F" w:rsidRPr="004E7F69" w:rsidRDefault="004F672F" w:rsidP="004C348A">
            <w:pPr>
              <w:spacing w:before="120" w:after="120" w:line="23" w:lineRule="atLeast"/>
            </w:pPr>
            <w:r>
              <w:t>(</w:t>
            </w:r>
            <w:proofErr w:type="gramStart"/>
            <w:r>
              <w:t>chez</w:t>
            </w:r>
            <w:proofErr w:type="gramEnd"/>
            <w:r>
              <w:t xml:space="preserve"> les enfants, on doit également mener un test de dépistage de l</w:t>
            </w:r>
            <w:r w:rsidR="00F258E3">
              <w:t>’</w:t>
            </w:r>
            <w:hyperlink r:id="rId13" w:history="1">
              <w:r>
                <w:rPr>
                  <w:rStyle w:val="Hyperlink"/>
                </w:rPr>
                <w:t>Entérovirus | Santé publique Ontario</w:t>
              </w:r>
            </w:hyperlink>
            <w:r>
              <w:t>)</w:t>
            </w:r>
          </w:p>
        </w:tc>
        <w:tc>
          <w:tcPr>
            <w:tcW w:w="4083" w:type="dxa"/>
          </w:tcPr>
          <w:p w14:paraId="65118747" w14:textId="77777777" w:rsidR="004F672F" w:rsidRPr="004E7F69" w:rsidRDefault="007A6E4A" w:rsidP="004C348A">
            <w:pPr>
              <w:spacing w:before="120" w:after="120" w:line="23" w:lineRule="atLeast"/>
              <w:rPr>
                <w:color w:val="0000FF"/>
              </w:rPr>
            </w:pPr>
            <w:hyperlink r:id="rId14" w:history="1">
              <w:r w:rsidR="004E7F69">
                <w:rPr>
                  <w:rStyle w:val="Hyperlink"/>
                </w:rPr>
                <w:t>Varicelle – Sérologie | Santé publique Ontario</w:t>
              </w:r>
            </w:hyperlink>
          </w:p>
          <w:p w14:paraId="6C7FA3E7" w14:textId="77777777" w:rsidR="004F672F" w:rsidRPr="004E7F69" w:rsidRDefault="007A6E4A" w:rsidP="004C348A">
            <w:pPr>
              <w:spacing w:before="120" w:after="120" w:line="23" w:lineRule="atLeast"/>
            </w:pPr>
            <w:hyperlink r:id="rId15" w:history="1">
              <w:r w:rsidR="004E7F69">
                <w:rPr>
                  <w:rStyle w:val="Hyperlink"/>
                </w:rPr>
                <w:t>Détection du virus varicelle-zona | Santé publique Ontario</w:t>
              </w:r>
            </w:hyperlink>
          </w:p>
        </w:tc>
        <w:tc>
          <w:tcPr>
            <w:tcW w:w="3288" w:type="dxa"/>
          </w:tcPr>
          <w:p w14:paraId="77BFD172" w14:textId="77777777" w:rsidR="004F672F" w:rsidRPr="004E7F69" w:rsidRDefault="007A6E4A" w:rsidP="004C348A">
            <w:pPr>
              <w:spacing w:before="120" w:after="120" w:line="23" w:lineRule="atLeast"/>
            </w:pPr>
            <w:hyperlink r:id="rId16" w:history="1">
              <w:r w:rsidR="004E7F69">
                <w:rPr>
                  <w:rStyle w:val="Hyperlink"/>
                </w:rPr>
                <w:t>Entérovirus | Santé publique Ontario</w:t>
              </w:r>
            </w:hyperlink>
          </w:p>
        </w:tc>
      </w:tr>
    </w:tbl>
    <w:p w14:paraId="01D4854B" w14:textId="5D038E39" w:rsidR="00B50466" w:rsidRPr="004E7F69" w:rsidRDefault="00B50466" w:rsidP="00B50466">
      <w:pPr>
        <w:spacing w:before="120" w:after="120" w:line="23" w:lineRule="atLeast"/>
        <w:rPr>
          <w:rStyle w:val="Hyperlink"/>
        </w:rPr>
      </w:pPr>
      <w:r>
        <w:rPr>
          <w:rStyle w:val="Hyperlink"/>
          <w:color w:val="auto"/>
          <w:u w:val="none"/>
        </w:rPr>
        <w:t xml:space="preserve">Pour obtenir des renseignements supplémentaires, veuillez consulter le site </w:t>
      </w:r>
      <w:hyperlink r:id="rId17" w:history="1">
        <w:r>
          <w:rPr>
            <w:rStyle w:val="Hyperlink"/>
          </w:rPr>
          <w:t>Virus de la variole du singe (gov.on.ca).</w:t>
        </w:r>
      </w:hyperlink>
      <w:bookmarkStart w:id="8" w:name="_Ref107908087"/>
      <w:r w:rsidR="00E26F05" w:rsidRPr="004E7F69">
        <w:rPr>
          <w:rStyle w:val="EndnoteReference"/>
          <w:color w:val="FFFFFF"/>
        </w:rPr>
        <w:endnoteReference w:id="10"/>
      </w:r>
      <w:bookmarkEnd w:id="8"/>
    </w:p>
    <w:p w14:paraId="65075886" w14:textId="36893D69" w:rsidR="00B50466" w:rsidRPr="004E7F69" w:rsidRDefault="00546BE9" w:rsidP="00E847EA">
      <w:pPr>
        <w:pStyle w:val="Heading2"/>
      </w:pPr>
      <w:r>
        <w:t>Références</w:t>
      </w:r>
    </w:p>
    <w:sectPr w:rsidR="00B50466" w:rsidRPr="004E7F69" w:rsidSect="004670D1">
      <w:headerReference w:type="default" r:id="rId18"/>
      <w:footerReference w:type="even" r:id="rId19"/>
      <w:footerReference w:type="default" r:id="rId20"/>
      <w:footnotePr>
        <w:numFmt w:val="lowerLetter"/>
      </w:footnotePr>
      <w:endnotePr>
        <w:numFmt w:val="decimal"/>
      </w:endnotePr>
      <w:pgSz w:w="15840" w:h="12240" w:orient="landscape"/>
      <w:pgMar w:top="851" w:right="1098" w:bottom="1440" w:left="1440" w:header="284" w:footer="8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77956" w14:textId="77777777" w:rsidR="0053751B" w:rsidRPr="00B50466" w:rsidRDefault="0053751B" w:rsidP="00B50466">
      <w:pPr>
        <w:pStyle w:val="Footer"/>
      </w:pPr>
    </w:p>
  </w:endnote>
  <w:endnote w:type="continuationSeparator" w:id="0">
    <w:p w14:paraId="5FD9210F" w14:textId="77777777" w:rsidR="0053751B" w:rsidRPr="00E847EA" w:rsidRDefault="0053751B" w:rsidP="00E847EA">
      <w:pPr>
        <w:pStyle w:val="Footer"/>
      </w:pPr>
    </w:p>
  </w:endnote>
  <w:endnote w:id="1">
    <w:p w14:paraId="3D3BF39E" w14:textId="589E42A6" w:rsidR="00C43897" w:rsidRPr="007A6E4A" w:rsidRDefault="00C43897" w:rsidP="007A6E4A">
      <w:pPr>
        <w:pStyle w:val="EndnoteText"/>
        <w:numPr>
          <w:ilvl w:val="0"/>
          <w:numId w:val="15"/>
        </w:numPr>
        <w:spacing w:before="120" w:after="120" w:line="23" w:lineRule="atLeast"/>
        <w:rPr>
          <w:sz w:val="24"/>
          <w:szCs w:val="24"/>
        </w:rPr>
      </w:pPr>
      <w:r w:rsidRPr="007A6E4A">
        <w:rPr>
          <w:sz w:val="24"/>
          <w:szCs w:val="24"/>
        </w:rPr>
        <w:t xml:space="preserve">Agence ontarienne de protection et de promotion de la santé (Santé publique Ontario). </w:t>
      </w:r>
      <w:r w:rsidRPr="007A6E4A">
        <w:rPr>
          <w:i/>
          <w:iCs/>
          <w:sz w:val="24"/>
          <w:szCs w:val="24"/>
        </w:rPr>
        <w:t>Épidémie de variole du singe dans le monde, 2022 : ce que nous savons jusqu</w:t>
      </w:r>
      <w:r w:rsidR="00F258E3" w:rsidRPr="007A6E4A">
        <w:rPr>
          <w:i/>
          <w:iCs/>
          <w:sz w:val="24"/>
          <w:szCs w:val="24"/>
        </w:rPr>
        <w:t>’</w:t>
      </w:r>
      <w:r w:rsidRPr="007A6E4A">
        <w:rPr>
          <w:i/>
          <w:iCs/>
          <w:sz w:val="24"/>
          <w:szCs w:val="24"/>
        </w:rPr>
        <w:t>à présent</w:t>
      </w:r>
      <w:r w:rsidRPr="007A6E4A">
        <w:rPr>
          <w:sz w:val="24"/>
          <w:szCs w:val="24"/>
        </w:rPr>
        <w:t>, [En ligne], Toronto (Ont.), Imprimeur de la Reine pour l</w:t>
      </w:r>
      <w:r w:rsidR="00F258E3" w:rsidRPr="007A6E4A">
        <w:rPr>
          <w:sz w:val="24"/>
          <w:szCs w:val="24"/>
        </w:rPr>
        <w:t>’</w:t>
      </w:r>
      <w:r w:rsidRPr="007A6E4A">
        <w:rPr>
          <w:sz w:val="24"/>
          <w:szCs w:val="24"/>
        </w:rPr>
        <w:t xml:space="preserve">Ontario, 2022, [mis à jour le 23 mai 2022; cité le 16 juin 2022]. Accessible à : </w:t>
      </w:r>
      <w:hyperlink r:id="rId1" w:history="1">
        <w:r w:rsidRPr="007A6E4A">
          <w:rPr>
            <w:rStyle w:val="Hyperlink"/>
            <w:sz w:val="24"/>
            <w:szCs w:val="24"/>
          </w:rPr>
          <w:t>https://www.publichealthontario.ca/-/media/Documents/M/2022/wwksf-multi-jurisdictional-monkeypox-outbreak-2022.pdf?sc_lang=fr</w:t>
        </w:r>
      </w:hyperlink>
    </w:p>
  </w:endnote>
  <w:endnote w:id="2">
    <w:p w14:paraId="3B9CBAE9" w14:textId="7959582E" w:rsidR="00B50466" w:rsidRPr="007A6E4A" w:rsidRDefault="00B50466" w:rsidP="007A6E4A">
      <w:pPr>
        <w:pStyle w:val="EndnoteText"/>
        <w:numPr>
          <w:ilvl w:val="0"/>
          <w:numId w:val="15"/>
        </w:numPr>
        <w:spacing w:before="120" w:after="120" w:line="23" w:lineRule="atLeast"/>
        <w:rPr>
          <w:sz w:val="24"/>
          <w:szCs w:val="24"/>
        </w:rPr>
      </w:pPr>
      <w:r w:rsidRPr="007A6E4A">
        <w:rPr>
          <w:sz w:val="24"/>
          <w:szCs w:val="24"/>
        </w:rPr>
        <w:t xml:space="preserve">Ministère de la Santé. </w:t>
      </w:r>
      <w:r w:rsidRPr="007A6E4A">
        <w:rPr>
          <w:i/>
          <w:iCs/>
          <w:sz w:val="24"/>
          <w:szCs w:val="24"/>
        </w:rPr>
        <w:t>OPHS – Infectious Disease Protocol; Appendix 1: Case definitions and disease-specific information disease: Varicella (Chickenpox)</w:t>
      </w:r>
      <w:r w:rsidRPr="007A6E4A">
        <w:rPr>
          <w:sz w:val="24"/>
          <w:szCs w:val="24"/>
        </w:rPr>
        <w:t>, [En ligne], Toronto (Ont.), Imprimeur de la Reine pour l</w:t>
      </w:r>
      <w:r w:rsidR="00F258E3" w:rsidRPr="007A6E4A">
        <w:rPr>
          <w:sz w:val="24"/>
          <w:szCs w:val="24"/>
        </w:rPr>
        <w:t>’</w:t>
      </w:r>
      <w:r w:rsidRPr="007A6E4A">
        <w:rPr>
          <w:sz w:val="24"/>
          <w:szCs w:val="24"/>
        </w:rPr>
        <w:t xml:space="preserve">Ontario, 2022, [mis à jour en avril 2022; cité le 6 juin 2022]. Accessible à : </w:t>
      </w:r>
      <w:hyperlink r:id="rId2" w:history="1">
        <w:r w:rsidRPr="007A6E4A">
          <w:rPr>
            <w:rStyle w:val="Hyperlink"/>
            <w:sz w:val="24"/>
            <w:szCs w:val="24"/>
          </w:rPr>
          <w:t>https://www.health.gov.on.ca/en/pro/programs/publichealth/oph_standards/docs/chickenpox_chapter.pdf</w:t>
        </w:r>
      </w:hyperlink>
    </w:p>
  </w:endnote>
  <w:endnote w:id="3">
    <w:p w14:paraId="4BA1BACF" w14:textId="7398D27F" w:rsidR="00B50466" w:rsidRPr="007A6E4A" w:rsidRDefault="00B50466" w:rsidP="007A6E4A">
      <w:pPr>
        <w:pStyle w:val="EndnoteText"/>
        <w:numPr>
          <w:ilvl w:val="0"/>
          <w:numId w:val="15"/>
        </w:numPr>
        <w:spacing w:before="120" w:after="120" w:line="23" w:lineRule="atLeast"/>
        <w:rPr>
          <w:sz w:val="24"/>
          <w:szCs w:val="24"/>
        </w:rPr>
      </w:pPr>
      <w:r w:rsidRPr="007A6E4A">
        <w:rPr>
          <w:sz w:val="24"/>
          <w:szCs w:val="24"/>
        </w:rPr>
        <w:t xml:space="preserve">Gouvernement du Canada. </w:t>
      </w:r>
      <w:r w:rsidRPr="007A6E4A">
        <w:rPr>
          <w:i/>
          <w:iCs/>
          <w:sz w:val="24"/>
          <w:szCs w:val="24"/>
        </w:rPr>
        <w:t>Maladie mains-pieds-bouche (entérovirus 71, EV 71)</w:t>
      </w:r>
      <w:r w:rsidRPr="007A6E4A">
        <w:rPr>
          <w:sz w:val="24"/>
          <w:szCs w:val="24"/>
        </w:rPr>
        <w:t xml:space="preserve">, [En ligne], Ottawa (Ont.), Sa Majesté la Reine du chef du Canada, 2019, [mis à jour le 19 mars 2019; cité le 6 juin 2022]. Accessible à : </w:t>
      </w:r>
      <w:hyperlink r:id="rId3" w:history="1">
        <w:r w:rsidRPr="007A6E4A">
          <w:rPr>
            <w:rStyle w:val="Hyperlink"/>
            <w:sz w:val="24"/>
            <w:szCs w:val="24"/>
          </w:rPr>
          <w:t>https://www.canada.ca/fr/sante-publique/services/maladies/maladie-mains-pieds-bouche.html</w:t>
        </w:r>
      </w:hyperlink>
    </w:p>
  </w:endnote>
  <w:endnote w:id="4">
    <w:p w14:paraId="2382FD00" w14:textId="48D040A8" w:rsidR="00CB6D36" w:rsidRPr="007A6E4A" w:rsidRDefault="00CB6D36" w:rsidP="007A6E4A">
      <w:pPr>
        <w:pStyle w:val="EndnoteText"/>
        <w:numPr>
          <w:ilvl w:val="0"/>
          <w:numId w:val="15"/>
        </w:numPr>
        <w:spacing w:before="120" w:after="120" w:line="23" w:lineRule="atLeast"/>
        <w:rPr>
          <w:sz w:val="24"/>
          <w:szCs w:val="24"/>
        </w:rPr>
      </w:pPr>
      <w:r w:rsidRPr="007A6E4A">
        <w:rPr>
          <w:sz w:val="24"/>
          <w:szCs w:val="24"/>
          <w:lang w:val="en-CA"/>
        </w:rPr>
        <w:t xml:space="preserve">Centers for Disease Control and Prevention. </w:t>
      </w:r>
      <w:r w:rsidRPr="007A6E4A">
        <w:rPr>
          <w:sz w:val="24"/>
          <w:szCs w:val="24"/>
        </w:rPr>
        <w:t xml:space="preserve">« Monkeypox outbreak – Nine states, May 2022 », </w:t>
      </w:r>
      <w:r w:rsidRPr="007A6E4A">
        <w:rPr>
          <w:i/>
          <w:iCs/>
          <w:sz w:val="24"/>
          <w:szCs w:val="24"/>
        </w:rPr>
        <w:t>Morbidity and Mortality Weekly Report (MMWR)</w:t>
      </w:r>
      <w:r w:rsidRPr="007A6E4A">
        <w:rPr>
          <w:sz w:val="24"/>
          <w:szCs w:val="24"/>
        </w:rPr>
        <w:t xml:space="preserve">, [En ligne], 2022, [mis à jour le 3 juin 2022; cité le 16 juin 2022]. Accessible à : </w:t>
      </w:r>
      <w:hyperlink r:id="rId4" w:anchor=":~:text=CDC%20urges%20health%20care%20providers,specific%20risk%20factors%20for%20monkeypox" w:history="1">
        <w:r w:rsidR="00F258E3" w:rsidRPr="007A6E4A">
          <w:rPr>
            <w:rStyle w:val="Hyperlink"/>
            <w:sz w:val="24"/>
            <w:szCs w:val="24"/>
          </w:rPr>
          <w:t>https://www.cdc.gov/mmwr/volumes/71/wr/mm7123e1.htm#:~:text=CDC%20urges%20health%20care%20providers,specific%20risk%20factors%20for%20monkeypox</w:t>
        </w:r>
      </w:hyperlink>
    </w:p>
  </w:endnote>
  <w:endnote w:id="5">
    <w:p w14:paraId="10EF3857" w14:textId="784D43DF" w:rsidR="00E847EA" w:rsidRPr="007A6E4A" w:rsidRDefault="00E847EA" w:rsidP="007A6E4A">
      <w:pPr>
        <w:pStyle w:val="EndnoteText"/>
        <w:numPr>
          <w:ilvl w:val="0"/>
          <w:numId w:val="15"/>
        </w:numPr>
        <w:spacing w:before="120" w:after="120" w:line="23" w:lineRule="atLeast"/>
        <w:rPr>
          <w:sz w:val="24"/>
          <w:szCs w:val="24"/>
        </w:rPr>
      </w:pPr>
      <w:r w:rsidRPr="007A6E4A">
        <w:rPr>
          <w:sz w:val="24"/>
          <w:szCs w:val="24"/>
        </w:rPr>
        <w:t xml:space="preserve">MyHealth.Alberta.ca. </w:t>
      </w:r>
      <w:r w:rsidRPr="007A6E4A">
        <w:rPr>
          <w:i/>
          <w:iCs/>
          <w:sz w:val="24"/>
          <w:szCs w:val="24"/>
        </w:rPr>
        <w:t>Hand-foot-and-mouth disease</w:t>
      </w:r>
      <w:r w:rsidRPr="007A6E4A">
        <w:rPr>
          <w:sz w:val="24"/>
          <w:szCs w:val="24"/>
        </w:rPr>
        <w:t>, [En ligne], Edmonton (Alb.), gouvernement de l</w:t>
      </w:r>
      <w:r w:rsidR="00F258E3" w:rsidRPr="007A6E4A">
        <w:rPr>
          <w:sz w:val="24"/>
          <w:szCs w:val="24"/>
        </w:rPr>
        <w:t>’</w:t>
      </w:r>
      <w:r w:rsidRPr="007A6E4A">
        <w:rPr>
          <w:sz w:val="24"/>
          <w:szCs w:val="24"/>
        </w:rPr>
        <w:t>Alberta et Alberta Health Services, 2021, [mis à jour le 1</w:t>
      </w:r>
      <w:r w:rsidRPr="007A6E4A">
        <w:rPr>
          <w:sz w:val="24"/>
          <w:szCs w:val="24"/>
          <w:vertAlign w:val="superscript"/>
        </w:rPr>
        <w:t>er</w:t>
      </w:r>
      <w:r w:rsidRPr="007A6E4A">
        <w:rPr>
          <w:sz w:val="24"/>
          <w:szCs w:val="24"/>
        </w:rPr>
        <w:t xml:space="preserve"> juillet 2021; cité le 6 juin 2022]. Accessible à : </w:t>
      </w:r>
      <w:hyperlink r:id="rId5" w:history="1">
        <w:r w:rsidRPr="007A6E4A">
          <w:rPr>
            <w:rStyle w:val="Hyperlink"/>
            <w:sz w:val="24"/>
            <w:szCs w:val="24"/>
          </w:rPr>
          <w:t>https://myhealth.alberta.ca/Health/Pages/conditions.aspx?hwid=ty6230</w:t>
        </w:r>
      </w:hyperlink>
    </w:p>
  </w:endnote>
  <w:endnote w:id="6">
    <w:p w14:paraId="0EE609B7" w14:textId="4731AFDB" w:rsidR="00E847EA" w:rsidRPr="007A6E4A" w:rsidRDefault="00E847EA" w:rsidP="007A6E4A">
      <w:pPr>
        <w:pStyle w:val="EndnoteText"/>
        <w:numPr>
          <w:ilvl w:val="0"/>
          <w:numId w:val="15"/>
        </w:numPr>
        <w:spacing w:before="120" w:after="120" w:line="23" w:lineRule="atLeast"/>
        <w:rPr>
          <w:sz w:val="24"/>
          <w:szCs w:val="24"/>
        </w:rPr>
      </w:pPr>
      <w:r w:rsidRPr="007A6E4A">
        <w:rPr>
          <w:sz w:val="24"/>
          <w:szCs w:val="24"/>
          <w:lang w:val="en-CA"/>
        </w:rPr>
        <w:t xml:space="preserve">Centers for Disease Control and Prevention. </w:t>
      </w:r>
      <w:r w:rsidRPr="007A6E4A">
        <w:rPr>
          <w:i/>
          <w:iCs/>
          <w:sz w:val="24"/>
          <w:szCs w:val="24"/>
        </w:rPr>
        <w:t>Varicella (chickenpox): fact sheet</w:t>
      </w:r>
      <w:r w:rsidRPr="007A6E4A">
        <w:rPr>
          <w:sz w:val="24"/>
          <w:szCs w:val="24"/>
        </w:rPr>
        <w:t xml:space="preserve">, [En ligne], Atlanta (Ge), Centers for Disease Control and Prevention, 2021, [mis à jour le 2 août 2021; cité le 6 juin 2022]. Accessible à : </w:t>
      </w:r>
      <w:hyperlink r:id="rId6" w:history="1">
        <w:r w:rsidRPr="007A6E4A">
          <w:rPr>
            <w:rStyle w:val="Hyperlink"/>
            <w:sz w:val="24"/>
            <w:szCs w:val="24"/>
          </w:rPr>
          <w:t>https://www.cdc.gov/chickenpox/downloads/Varicella-diagnosis-fact-sheet-508.pdf</w:t>
        </w:r>
      </w:hyperlink>
    </w:p>
  </w:endnote>
  <w:endnote w:id="7">
    <w:p w14:paraId="7A4A787F" w14:textId="5834497C" w:rsidR="00E847EA" w:rsidRPr="007A6E4A" w:rsidRDefault="00E847EA" w:rsidP="007A6E4A">
      <w:pPr>
        <w:pStyle w:val="EndnoteText"/>
        <w:numPr>
          <w:ilvl w:val="0"/>
          <w:numId w:val="15"/>
        </w:numPr>
        <w:spacing w:before="120" w:after="120" w:line="23" w:lineRule="atLeast"/>
        <w:rPr>
          <w:sz w:val="24"/>
          <w:szCs w:val="24"/>
        </w:rPr>
      </w:pPr>
      <w:r w:rsidRPr="007A6E4A">
        <w:rPr>
          <w:sz w:val="24"/>
          <w:szCs w:val="24"/>
          <w:lang w:val="en-CA"/>
        </w:rPr>
        <w:t xml:space="preserve">Centers for Disease Control and Prevention. </w:t>
      </w:r>
      <w:r w:rsidRPr="007A6E4A">
        <w:rPr>
          <w:i/>
          <w:iCs/>
          <w:sz w:val="24"/>
          <w:szCs w:val="24"/>
        </w:rPr>
        <w:t xml:space="preserve">Chickenpox (varicella): for healthcare </w:t>
      </w:r>
      <w:r w:rsidR="00F258E3" w:rsidRPr="007A6E4A">
        <w:rPr>
          <w:i/>
          <w:iCs/>
          <w:sz w:val="24"/>
          <w:szCs w:val="24"/>
        </w:rPr>
        <w:t>professionals</w:t>
      </w:r>
      <w:r w:rsidRPr="007A6E4A">
        <w:rPr>
          <w:sz w:val="24"/>
          <w:szCs w:val="24"/>
        </w:rPr>
        <w:t xml:space="preserve">, [En ligne], Atlanta (Ge), Centers for Disease Control and Prevention, 2021, [mis à jour le 28 avril 2021; cité le 6 juin 2022]. Accessible à : </w:t>
      </w:r>
      <w:hyperlink r:id="rId7" w:history="1">
        <w:r w:rsidRPr="007A6E4A">
          <w:rPr>
            <w:rStyle w:val="Hyperlink"/>
            <w:sz w:val="24"/>
            <w:szCs w:val="24"/>
          </w:rPr>
          <w:t>https://www.cdc.gov/chickenpox/hcp/index.html</w:t>
        </w:r>
      </w:hyperlink>
    </w:p>
  </w:endnote>
  <w:endnote w:id="8">
    <w:p w14:paraId="3E9D3194" w14:textId="68F40D96" w:rsidR="008854E7" w:rsidRPr="007A6E4A" w:rsidRDefault="008854E7" w:rsidP="007A6E4A">
      <w:pPr>
        <w:pStyle w:val="EndnoteText"/>
        <w:numPr>
          <w:ilvl w:val="0"/>
          <w:numId w:val="15"/>
        </w:numPr>
        <w:spacing w:before="120" w:after="120" w:line="23" w:lineRule="atLeast"/>
        <w:rPr>
          <w:sz w:val="24"/>
          <w:szCs w:val="24"/>
        </w:rPr>
      </w:pPr>
      <w:r w:rsidRPr="007A6E4A">
        <w:rPr>
          <w:sz w:val="24"/>
          <w:szCs w:val="24"/>
          <w:lang w:val="en-CA"/>
        </w:rPr>
        <w:t xml:space="preserve">Centers for Disease Control and Prevention. </w:t>
      </w:r>
      <w:r w:rsidRPr="007A6E4A">
        <w:rPr>
          <w:i/>
          <w:iCs/>
          <w:sz w:val="24"/>
          <w:szCs w:val="24"/>
        </w:rPr>
        <w:t>Monkeypox: clinical recognition</w:t>
      </w:r>
      <w:r w:rsidRPr="007A6E4A">
        <w:rPr>
          <w:sz w:val="24"/>
          <w:szCs w:val="24"/>
        </w:rPr>
        <w:t xml:space="preserve">, [En ligne], Atlanta (Ge), Centers for Disease Control and Prevention, 2022, [mis à jour le 23 mai 2022; cité le 6 juin 2022]. Accessible à : </w:t>
      </w:r>
      <w:hyperlink r:id="rId8" w:history="1">
        <w:r w:rsidRPr="007A6E4A">
          <w:rPr>
            <w:rStyle w:val="Hyperlink"/>
            <w:sz w:val="24"/>
            <w:szCs w:val="24"/>
          </w:rPr>
          <w:t>https://www.cdc.gov/poxvirus/monkeypox/clinicians/clinical-recognition.html</w:t>
        </w:r>
      </w:hyperlink>
    </w:p>
  </w:endnote>
  <w:endnote w:id="9">
    <w:p w14:paraId="56406DAF" w14:textId="75BA10C6" w:rsidR="008854E7" w:rsidRPr="007A6E4A" w:rsidRDefault="008854E7" w:rsidP="007A6E4A">
      <w:pPr>
        <w:pStyle w:val="EndnoteText"/>
        <w:numPr>
          <w:ilvl w:val="0"/>
          <w:numId w:val="15"/>
        </w:numPr>
        <w:spacing w:before="120" w:after="120" w:line="23" w:lineRule="atLeast"/>
        <w:rPr>
          <w:sz w:val="24"/>
          <w:szCs w:val="24"/>
        </w:rPr>
      </w:pPr>
      <w:r w:rsidRPr="007A6E4A">
        <w:rPr>
          <w:sz w:val="24"/>
          <w:szCs w:val="24"/>
          <w:lang w:val="en-CA"/>
        </w:rPr>
        <w:t xml:space="preserve">Centers for Disease Control and Prevention. </w:t>
      </w:r>
      <w:r w:rsidRPr="007A6E4A">
        <w:rPr>
          <w:i/>
          <w:iCs/>
          <w:sz w:val="24"/>
          <w:szCs w:val="24"/>
          <w:lang w:val="en-CA"/>
        </w:rPr>
        <w:t>Hand, Foot, and Mouth Disease (HFMD): symptoms and diagnosis of hand, foot, and mouth disease</w:t>
      </w:r>
      <w:r w:rsidRPr="007A6E4A">
        <w:rPr>
          <w:sz w:val="24"/>
          <w:szCs w:val="24"/>
          <w:lang w:val="en-CA"/>
        </w:rPr>
        <w:t xml:space="preserve">, [En ligne], Atlanta (Ge), Centers for Disease Control and Prevention, 2021, [mis à jour le 2 février 2021; cité le 6 juin 2022]. </w:t>
      </w:r>
      <w:r w:rsidRPr="007A6E4A">
        <w:rPr>
          <w:sz w:val="24"/>
          <w:szCs w:val="24"/>
        </w:rPr>
        <w:t xml:space="preserve">Accessible à : </w:t>
      </w:r>
      <w:hyperlink r:id="rId9" w:history="1">
        <w:r w:rsidRPr="007A6E4A">
          <w:rPr>
            <w:rStyle w:val="Hyperlink"/>
            <w:sz w:val="24"/>
            <w:szCs w:val="24"/>
          </w:rPr>
          <w:t>https://www.cdc.gov/hand-foot-mouth/about/signs-symptoms.html</w:t>
        </w:r>
      </w:hyperlink>
    </w:p>
  </w:endnote>
  <w:endnote w:id="10">
    <w:p w14:paraId="6C7414EB" w14:textId="7E228199" w:rsidR="00E26F05" w:rsidRPr="007A6E4A" w:rsidRDefault="00E26F05" w:rsidP="007A6E4A">
      <w:pPr>
        <w:pStyle w:val="EndnoteText"/>
        <w:numPr>
          <w:ilvl w:val="0"/>
          <w:numId w:val="15"/>
        </w:numPr>
        <w:spacing w:before="120" w:after="120" w:line="23" w:lineRule="atLeast"/>
        <w:rPr>
          <w:sz w:val="24"/>
          <w:szCs w:val="24"/>
        </w:rPr>
      </w:pPr>
      <w:r w:rsidRPr="007A6E4A">
        <w:rPr>
          <w:sz w:val="24"/>
          <w:szCs w:val="24"/>
        </w:rPr>
        <w:t xml:space="preserve">Organisation mondiale de la Santé. </w:t>
      </w:r>
      <w:r w:rsidRPr="007A6E4A">
        <w:rPr>
          <w:i/>
          <w:iCs/>
          <w:sz w:val="24"/>
          <w:szCs w:val="24"/>
        </w:rPr>
        <w:t>Multi-country Monkeypox Outbreak in Non-Endemic Countries</w:t>
      </w:r>
      <w:r w:rsidRPr="007A6E4A">
        <w:rPr>
          <w:sz w:val="24"/>
          <w:szCs w:val="24"/>
        </w:rPr>
        <w:t xml:space="preserve">, [En ligne], 2022, [mis à jour le 21 mai 2022; cité le 16 juin 2022]. Accessible à : </w:t>
      </w:r>
      <w:hyperlink r:id="rId10" w:history="1">
        <w:r w:rsidRPr="007A6E4A">
          <w:rPr>
            <w:rStyle w:val="Hyperlink"/>
            <w:sz w:val="24"/>
            <w:szCs w:val="24"/>
          </w:rPr>
          <w:t>https://www.who.int/emergencies/disease-outbreak-news/item/2022-DON385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Raleway">
    <w:panose1 w:val="00000500000000000000"/>
    <w:charset w:val="00"/>
    <w:family w:val="modern"/>
    <w:notTrueType/>
    <w:pitch w:val="variable"/>
    <w:sig w:usb0="20000207" w:usb1="00000003" w:usb2="00000000" w:usb3="00000000" w:csb0="00000197" w:csb1="00000000"/>
  </w:font>
  <w:font w:name="Raleway SemiBold">
    <w:panose1 w:val="00000700000000000000"/>
    <w:charset w:val="00"/>
    <w:family w:val="modern"/>
    <w:notTrueType/>
    <w:pitch w:val="variable"/>
    <w:sig w:usb0="20000207" w:usb1="00000003" w:usb2="00000000" w:usb3="00000000" w:csb0="00000197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932522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897DA5" w14:textId="77777777" w:rsidR="009B4C3F" w:rsidRDefault="009B4C3F" w:rsidP="003031F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84389875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1A5E028" w14:textId="77777777" w:rsidR="00D31525" w:rsidRDefault="00D31525" w:rsidP="009B4C3F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39547BB" w14:textId="77777777" w:rsidR="00D31525" w:rsidRDefault="00D31525" w:rsidP="00D3152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FBE0D" w14:textId="3FADB022" w:rsidR="00D31525" w:rsidRPr="004E7F69" w:rsidRDefault="007A6E4A" w:rsidP="004F672F">
    <w:pPr>
      <w:pStyle w:val="Footer"/>
      <w:pBdr>
        <w:top w:val="single" w:sz="4" w:space="1" w:color="09A3FF" w:themeColor="background1" w:themeShade="D9"/>
      </w:pBdr>
      <w:jc w:val="right"/>
      <w:rPr>
        <w:b/>
        <w:bCs/>
      </w:rPr>
    </w:pPr>
    <w:sdt>
      <w:sdtPr>
        <w:id w:val="973952427"/>
        <w:docPartObj>
          <w:docPartGallery w:val="Page Numbers (Bottom of Page)"/>
          <w:docPartUnique/>
        </w:docPartObj>
      </w:sdtPr>
      <w:sdtEndPr>
        <w:rPr>
          <w:color w:val="00619A" w:themeColor="background1" w:themeShade="7F"/>
        </w:rPr>
      </w:sdtEndPr>
      <w:sdtContent>
        <w:r w:rsidR="004F672F" w:rsidRPr="004E7F69">
          <w:fldChar w:fldCharType="begin"/>
        </w:r>
        <w:r w:rsidR="004F672F" w:rsidRPr="004E7F69">
          <w:instrText xml:space="preserve"> PAGE   \* MERGEFORMAT </w:instrText>
        </w:r>
        <w:r w:rsidR="004F672F" w:rsidRPr="004E7F69">
          <w:fldChar w:fldCharType="separate"/>
        </w:r>
        <w:r w:rsidR="004F672F" w:rsidRPr="004E7F69">
          <w:rPr>
            <w:b/>
            <w:bCs/>
          </w:rPr>
          <w:t>2</w:t>
        </w:r>
        <w:r w:rsidR="004F672F" w:rsidRPr="004E7F69">
          <w:rPr>
            <w:b/>
            <w:bCs/>
          </w:rPr>
          <w:fldChar w:fldCharType="end"/>
        </w:r>
        <w:r w:rsidR="004E7F69">
          <w:rPr>
            <w:b/>
            <w:bCs/>
          </w:rPr>
          <w:t xml:space="preserve"> | </w:t>
        </w:r>
        <w:r w:rsidR="004E7F69">
          <w:rPr>
            <w:color w:val="00619A" w:themeColor="background1" w:themeShade="7F"/>
          </w:rPr>
          <w:t>Page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4F663" w14:textId="77777777" w:rsidR="0053751B" w:rsidRDefault="0053751B" w:rsidP="00D31525">
      <w:pPr>
        <w:spacing w:before="0" w:line="240" w:lineRule="auto"/>
      </w:pPr>
      <w:r>
        <w:separator/>
      </w:r>
    </w:p>
  </w:footnote>
  <w:footnote w:type="continuationSeparator" w:id="0">
    <w:p w14:paraId="004C55EE" w14:textId="77777777" w:rsidR="0053751B" w:rsidRDefault="0053751B" w:rsidP="00D31525">
      <w:pPr>
        <w:spacing w:before="0" w:line="240" w:lineRule="auto"/>
      </w:pPr>
      <w:r>
        <w:continuationSeparator/>
      </w:r>
    </w:p>
  </w:footnote>
  <w:footnote w:id="1">
    <w:p w14:paraId="78D60145" w14:textId="081204B7" w:rsidR="00CB6D36" w:rsidRPr="007A6E4A" w:rsidRDefault="00CB6D36">
      <w:pPr>
        <w:pStyle w:val="FootnoteText"/>
        <w:rPr>
          <w:rFonts w:ascii="Raleway" w:hAnsi="Raleway"/>
          <w:sz w:val="22"/>
          <w:szCs w:val="22"/>
        </w:rPr>
      </w:pPr>
      <w:r w:rsidRPr="007A6E4A">
        <w:rPr>
          <w:rStyle w:val="FootnoteReference"/>
          <w:rFonts w:ascii="Raleway" w:hAnsi="Raleway"/>
          <w:sz w:val="22"/>
          <w:szCs w:val="22"/>
        </w:rPr>
        <w:footnoteRef/>
      </w:r>
      <w:r w:rsidR="008A079E" w:rsidRPr="007A6E4A">
        <w:rPr>
          <w:rFonts w:ascii="Raleway" w:hAnsi="Raleway"/>
          <w:sz w:val="22"/>
          <w:szCs w:val="22"/>
        </w:rPr>
        <w:t> </w:t>
      </w:r>
      <w:r w:rsidRPr="007A6E4A">
        <w:rPr>
          <w:rFonts w:ascii="Raleway" w:hAnsi="Raleway"/>
          <w:sz w:val="22"/>
          <w:szCs w:val="22"/>
        </w:rPr>
        <w:t>La varicelle des vaccinés est une infection qui survient chez une personne vaccinée contre la varicelle, plus de 42 jours suivant l</w:t>
      </w:r>
      <w:r w:rsidR="00F258E3" w:rsidRPr="007A6E4A">
        <w:rPr>
          <w:rFonts w:ascii="Raleway" w:hAnsi="Raleway"/>
          <w:sz w:val="22"/>
          <w:szCs w:val="22"/>
        </w:rPr>
        <w:t>’</w:t>
      </w:r>
      <w:r w:rsidRPr="007A6E4A">
        <w:rPr>
          <w:rFonts w:ascii="Raleway" w:hAnsi="Raleway"/>
          <w:sz w:val="22"/>
          <w:szCs w:val="22"/>
        </w:rPr>
        <w:t>administration du vaccin contre la varicelle.</w:t>
      </w:r>
    </w:p>
  </w:footnote>
  <w:footnote w:id="2">
    <w:p w14:paraId="399A5C3D" w14:textId="2D13F7C5" w:rsidR="00B50466" w:rsidRPr="00B50466" w:rsidRDefault="00B50466">
      <w:pPr>
        <w:pStyle w:val="FootnoteText"/>
      </w:pPr>
      <w:r>
        <w:rPr>
          <w:rStyle w:val="FootnoteReference"/>
        </w:rPr>
        <w:footnoteRef/>
      </w:r>
      <w:r w:rsidR="008A079E">
        <w:t> </w:t>
      </w:r>
      <w:r>
        <w:t>Les présentations atypiques de la variole du singe comprennent les signes initiaux d</w:t>
      </w:r>
      <w:r w:rsidR="00F258E3">
        <w:t>’</w:t>
      </w:r>
      <w:r>
        <w:t xml:space="preserve">une éruption génitale ou </w:t>
      </w:r>
      <w:proofErr w:type="spellStart"/>
      <w:r>
        <w:t>péri-anale</w:t>
      </w:r>
      <w:proofErr w:type="spellEnd"/>
      <w:r>
        <w:t xml:space="preserve"> avant ou sans symptôme avant-coureurs qui peuvent ne pas s</w:t>
      </w:r>
      <w:r w:rsidR="00F258E3">
        <w:t>’</w:t>
      </w:r>
      <w:r>
        <w:t>étendre à d</w:t>
      </w:r>
      <w:r w:rsidR="00F258E3">
        <w:t>’</w:t>
      </w:r>
      <w:r>
        <w:t>autres parties du corps, et la présence de lésions à différents stades de développement.</w:t>
      </w:r>
      <w:r w:rsidR="00546BE9" w:rsidRPr="00511DF7">
        <w:rPr>
          <w:vertAlign w:val="superscript"/>
        </w:rPr>
        <w:fldChar w:fldCharType="begin"/>
      </w:r>
      <w:r w:rsidR="00546BE9" w:rsidRPr="00511DF7">
        <w:rPr>
          <w:vertAlign w:val="superscript"/>
        </w:rPr>
        <w:instrText xml:space="preserve"> NOTEREF _Ref107907003 \h </w:instrText>
      </w:r>
      <w:r w:rsidR="00511DF7">
        <w:rPr>
          <w:vertAlign w:val="superscript"/>
        </w:rPr>
        <w:instrText xml:space="preserve"> \* MERGEFORMAT </w:instrText>
      </w:r>
      <w:r w:rsidR="00546BE9" w:rsidRPr="00511DF7">
        <w:rPr>
          <w:vertAlign w:val="superscript"/>
        </w:rPr>
      </w:r>
      <w:r w:rsidR="00546BE9" w:rsidRPr="00511DF7">
        <w:rPr>
          <w:vertAlign w:val="superscript"/>
        </w:rPr>
        <w:fldChar w:fldCharType="separate"/>
      </w:r>
      <w:r w:rsidR="00546BE9" w:rsidRPr="00511DF7">
        <w:rPr>
          <w:vertAlign w:val="superscript"/>
        </w:rPr>
        <w:t>4</w:t>
      </w:r>
      <w:r w:rsidR="00546BE9" w:rsidRPr="00511DF7">
        <w:rPr>
          <w:vertAlign w:val="superscript"/>
        </w:rPr>
        <w:fldChar w:fldCharType="end"/>
      </w:r>
      <w:r>
        <w:t>,</w:t>
      </w:r>
      <w:r w:rsidR="00511DF7" w:rsidRPr="00511DF7">
        <w:rPr>
          <w:vertAlign w:val="superscript"/>
        </w:rPr>
        <w:fldChar w:fldCharType="begin"/>
      </w:r>
      <w:r w:rsidR="00511DF7" w:rsidRPr="00511DF7">
        <w:rPr>
          <w:vertAlign w:val="superscript"/>
        </w:rPr>
        <w:instrText xml:space="preserve"> NOTEREF _Ref107908087 \h </w:instrText>
      </w:r>
      <w:r w:rsidR="00511DF7">
        <w:rPr>
          <w:vertAlign w:val="superscript"/>
        </w:rPr>
        <w:instrText xml:space="preserve"> \* MERGEFORMAT </w:instrText>
      </w:r>
      <w:r w:rsidR="00511DF7" w:rsidRPr="00511DF7">
        <w:rPr>
          <w:vertAlign w:val="superscript"/>
        </w:rPr>
      </w:r>
      <w:r w:rsidR="00511DF7" w:rsidRPr="00511DF7">
        <w:rPr>
          <w:vertAlign w:val="superscript"/>
        </w:rPr>
        <w:fldChar w:fldCharType="separate"/>
      </w:r>
      <w:r w:rsidR="00511DF7" w:rsidRPr="00511DF7">
        <w:rPr>
          <w:vertAlign w:val="superscript"/>
        </w:rPr>
        <w:t>10</w:t>
      </w:r>
      <w:r w:rsidR="00511DF7" w:rsidRPr="00511DF7">
        <w:rPr>
          <w:vertAlign w:val="superscript"/>
        </w:rPr>
        <w:fldChar w:fldCharType="end"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6F945" w14:textId="5D220E06" w:rsidR="00D31525" w:rsidRPr="004F672F" w:rsidRDefault="004F672F" w:rsidP="007A6E4A">
    <w:pPr>
      <w:pStyle w:val="Header"/>
      <w:ind w:right="-23" w:hanging="90"/>
      <w:jc w:val="right"/>
      <w:rPr>
        <w:sz w:val="20"/>
        <w:szCs w:val="20"/>
      </w:rPr>
    </w:pPr>
    <w:r>
      <w:rPr>
        <w:sz w:val="20"/>
        <w:szCs w:val="20"/>
      </w:rPr>
      <w:t>Direction des politiques et des programmes de protection de la santé et de surveillance – Bureau du médecin hygiéniste en chef, santé publique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D025D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F8CD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08222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C477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7BC20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FA89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4C92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A891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CE0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6E1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431C4F"/>
    <w:multiLevelType w:val="hybridMultilevel"/>
    <w:tmpl w:val="4FB67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B56A50"/>
    <w:multiLevelType w:val="hybridMultilevel"/>
    <w:tmpl w:val="9118C7F8"/>
    <w:lvl w:ilvl="0" w:tplc="085C12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31790"/>
    <w:multiLevelType w:val="hybridMultilevel"/>
    <w:tmpl w:val="A9A0D0CE"/>
    <w:lvl w:ilvl="0" w:tplc="085C12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43345"/>
    <w:multiLevelType w:val="hybridMultilevel"/>
    <w:tmpl w:val="A7028310"/>
    <w:lvl w:ilvl="0" w:tplc="114AA75A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2F2048"/>
    <w:multiLevelType w:val="hybridMultilevel"/>
    <w:tmpl w:val="21BA34E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hideSpellingErrors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14337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9B4"/>
    <w:rsid w:val="00003B1B"/>
    <w:rsid w:val="000114E5"/>
    <w:rsid w:val="0004483A"/>
    <w:rsid w:val="00045744"/>
    <w:rsid w:val="000B41FB"/>
    <w:rsid w:val="001325B8"/>
    <w:rsid w:val="00133EB1"/>
    <w:rsid w:val="001E3918"/>
    <w:rsid w:val="002862CD"/>
    <w:rsid w:val="00335EE4"/>
    <w:rsid w:val="0039151D"/>
    <w:rsid w:val="00422350"/>
    <w:rsid w:val="004670D1"/>
    <w:rsid w:val="00471689"/>
    <w:rsid w:val="004E7F69"/>
    <w:rsid w:val="004F672F"/>
    <w:rsid w:val="00501F98"/>
    <w:rsid w:val="00503EE8"/>
    <w:rsid w:val="00511DF7"/>
    <w:rsid w:val="0053751B"/>
    <w:rsid w:val="00546BE9"/>
    <w:rsid w:val="0059563D"/>
    <w:rsid w:val="00596FC5"/>
    <w:rsid w:val="005A0732"/>
    <w:rsid w:val="006117EF"/>
    <w:rsid w:val="00651D81"/>
    <w:rsid w:val="00651FEC"/>
    <w:rsid w:val="006B7BD6"/>
    <w:rsid w:val="006C4C91"/>
    <w:rsid w:val="007032EF"/>
    <w:rsid w:val="00724BD1"/>
    <w:rsid w:val="00736654"/>
    <w:rsid w:val="007A6E4A"/>
    <w:rsid w:val="007D3020"/>
    <w:rsid w:val="00874135"/>
    <w:rsid w:val="008854E7"/>
    <w:rsid w:val="0089274D"/>
    <w:rsid w:val="008A079E"/>
    <w:rsid w:val="008C3757"/>
    <w:rsid w:val="00924164"/>
    <w:rsid w:val="009A6AFF"/>
    <w:rsid w:val="009B4C3F"/>
    <w:rsid w:val="009D1AC4"/>
    <w:rsid w:val="009D298B"/>
    <w:rsid w:val="00A66B3B"/>
    <w:rsid w:val="00B412A3"/>
    <w:rsid w:val="00B50466"/>
    <w:rsid w:val="00BB7B7A"/>
    <w:rsid w:val="00BD4617"/>
    <w:rsid w:val="00C3175D"/>
    <w:rsid w:val="00C43897"/>
    <w:rsid w:val="00C65EB2"/>
    <w:rsid w:val="00C75003"/>
    <w:rsid w:val="00CB6D36"/>
    <w:rsid w:val="00CF5A33"/>
    <w:rsid w:val="00D02A0E"/>
    <w:rsid w:val="00D31525"/>
    <w:rsid w:val="00D679B4"/>
    <w:rsid w:val="00DC6142"/>
    <w:rsid w:val="00DD5BB6"/>
    <w:rsid w:val="00DE4346"/>
    <w:rsid w:val="00DE51B6"/>
    <w:rsid w:val="00E040F1"/>
    <w:rsid w:val="00E26F05"/>
    <w:rsid w:val="00E847EA"/>
    <w:rsid w:val="00F109EF"/>
    <w:rsid w:val="00F258E3"/>
    <w:rsid w:val="00F8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C4B6C62"/>
  <w15:chartTrackingRefBased/>
  <w15:docId w15:val="{CF378CA2-FAD3-47A3-B6FD-8AB2A3AB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EE8"/>
    <w:pPr>
      <w:shd w:val="clear" w:color="auto" w:fill="FFFFFF"/>
      <w:spacing w:before="240" w:line="276" w:lineRule="auto"/>
    </w:pPr>
    <w:rPr>
      <w:rFonts w:ascii="Raleway" w:eastAsia="Times New Roman" w:hAnsi="Raleway" w:cs="Open Sans"/>
      <w:color w:val="000000"/>
    </w:rPr>
  </w:style>
  <w:style w:type="paragraph" w:styleId="Heading1">
    <w:name w:val="heading 1"/>
    <w:basedOn w:val="Title"/>
    <w:next w:val="Normal"/>
    <w:link w:val="Heading1Char"/>
    <w:uiPriority w:val="9"/>
    <w:qFormat/>
    <w:rsid w:val="004F672F"/>
    <w:pPr>
      <w:spacing w:before="120"/>
      <w:outlineLvl w:val="0"/>
    </w:pPr>
    <w:rPr>
      <w:b/>
    </w:rPr>
  </w:style>
  <w:style w:type="paragraph" w:styleId="Heading2">
    <w:name w:val="heading 2"/>
    <w:basedOn w:val="NormalWeb"/>
    <w:next w:val="Normal"/>
    <w:link w:val="Heading2Char"/>
    <w:uiPriority w:val="9"/>
    <w:unhideWhenUsed/>
    <w:qFormat/>
    <w:rsid w:val="007032EF"/>
    <w:pPr>
      <w:spacing w:before="240" w:beforeAutospacing="0" w:after="0" w:afterAutospacing="0"/>
      <w:jc w:val="both"/>
      <w:outlineLvl w:val="1"/>
    </w:pPr>
    <w:rPr>
      <w:rFonts w:ascii="Raleway" w:hAnsi="Raleway" w:cs="Open Sans"/>
      <w:b/>
      <w:color w:val="035B90" w:themeColor="accent6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1525"/>
    <w:pPr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A3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CF5A33"/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CF5A33"/>
    <w:rPr>
      <w:rFonts w:ascii="Raleway" w:hAnsi="Raleway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5A33"/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CF5A33"/>
    <w:rPr>
      <w:rFonts w:ascii="Raleway" w:hAnsi="Raleway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032EF"/>
    <w:rPr>
      <w:rFonts w:ascii="Raleway" w:eastAsia="Times New Roman" w:hAnsi="Raleway" w:cs="Open Sans"/>
      <w:b/>
      <w:color w:val="035B90" w:themeColor="accent6" w:themeShade="BF"/>
      <w:sz w:val="40"/>
      <w:szCs w:val="40"/>
      <w:shd w:val="clear" w:color="auto" w:fill="FFFFFF"/>
    </w:rPr>
  </w:style>
  <w:style w:type="character" w:customStyle="1" w:styleId="Heading1Char">
    <w:name w:val="Heading 1 Char"/>
    <w:basedOn w:val="DefaultParagraphFont"/>
    <w:link w:val="Heading1"/>
    <w:uiPriority w:val="9"/>
    <w:rsid w:val="004F672F"/>
    <w:rPr>
      <w:rFonts w:ascii="Raleway" w:eastAsia="Times New Roman" w:hAnsi="Raleway" w:cs="Open Sans"/>
      <w:b/>
      <w:color w:val="000000"/>
      <w:sz w:val="48"/>
      <w:szCs w:val="48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"/>
    <w:rsid w:val="00D31525"/>
    <w:rPr>
      <w:rFonts w:ascii="Raleway" w:eastAsia="Times New Roman" w:hAnsi="Raleway" w:cs="Open Sans"/>
      <w:i/>
      <w:color w:val="000000"/>
      <w:shd w:val="clear" w:color="auto" w:fill="FFFFFF"/>
    </w:rPr>
  </w:style>
  <w:style w:type="character" w:styleId="Emphasis">
    <w:name w:val="Emphasis"/>
    <w:uiPriority w:val="20"/>
    <w:qFormat/>
    <w:rsid w:val="00D31525"/>
    <w:rPr>
      <w:rFonts w:ascii="Raleway SemiBold" w:hAnsi="Raleway SemiBold"/>
      <w:b/>
    </w:rPr>
  </w:style>
  <w:style w:type="character" w:styleId="SubtleEmphasis">
    <w:name w:val="Subtle Emphasis"/>
    <w:uiPriority w:val="19"/>
    <w:qFormat/>
    <w:rsid w:val="00D31525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D31525"/>
    <w:pPr>
      <w:spacing w:line="360" w:lineRule="auto"/>
      <w:ind w:left="567" w:right="851"/>
      <w:mirrorIndents/>
    </w:pPr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31525"/>
    <w:rPr>
      <w:rFonts w:ascii="Raleway" w:eastAsia="Times New Roman" w:hAnsi="Raleway" w:cs="Open Sans"/>
      <w:i/>
      <w:color w:val="000000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D3152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525"/>
    <w:rPr>
      <w:rFonts w:ascii="Raleway" w:eastAsia="Times New Roman" w:hAnsi="Raleway" w:cs="Open Sans"/>
      <w:color w:val="000000"/>
      <w:shd w:val="clear" w:color="auto" w:fill="FFFFFF"/>
    </w:rPr>
  </w:style>
  <w:style w:type="paragraph" w:styleId="Footer">
    <w:name w:val="footer"/>
    <w:basedOn w:val="Normal"/>
    <w:link w:val="FooterChar"/>
    <w:uiPriority w:val="99"/>
    <w:unhideWhenUsed/>
    <w:rsid w:val="00D3152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525"/>
    <w:rPr>
      <w:rFonts w:ascii="Raleway" w:eastAsia="Times New Roman" w:hAnsi="Raleway" w:cs="Open Sans"/>
      <w:color w:val="000000"/>
      <w:shd w:val="clear" w:color="auto" w:fill="FFFFFF"/>
    </w:rPr>
  </w:style>
  <w:style w:type="character" w:styleId="PageNumber">
    <w:name w:val="page number"/>
    <w:basedOn w:val="DefaultParagraphFont"/>
    <w:uiPriority w:val="99"/>
    <w:semiHidden/>
    <w:unhideWhenUsed/>
    <w:rsid w:val="00D31525"/>
  </w:style>
  <w:style w:type="table" w:styleId="TableGrid">
    <w:name w:val="Table Grid"/>
    <w:basedOn w:val="TableNormal"/>
    <w:uiPriority w:val="59"/>
    <w:rsid w:val="0050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Row">
    <w:name w:val="Table Header Row"/>
    <w:basedOn w:val="Normal"/>
    <w:link w:val="TableHeaderRowChar"/>
    <w:qFormat/>
    <w:rsid w:val="009B4C3F"/>
    <w:pPr>
      <w:shd w:val="clear" w:color="auto" w:fill="auto"/>
      <w:spacing w:before="120" w:after="120"/>
    </w:pPr>
    <w:rPr>
      <w:b/>
    </w:rPr>
  </w:style>
  <w:style w:type="paragraph" w:customStyle="1" w:styleId="tablerows">
    <w:name w:val="table rows"/>
    <w:basedOn w:val="Normal"/>
    <w:qFormat/>
    <w:rsid w:val="009B4C3F"/>
    <w:pPr>
      <w:shd w:val="clear" w:color="auto" w:fill="auto"/>
      <w:spacing w:before="120" w:after="120"/>
    </w:pPr>
  </w:style>
  <w:style w:type="character" w:customStyle="1" w:styleId="TableHeaderRowChar">
    <w:name w:val="Table Header Row Char"/>
    <w:basedOn w:val="DefaultParagraphFont"/>
    <w:link w:val="TableHeaderRow"/>
    <w:rsid w:val="009B4C3F"/>
    <w:rPr>
      <w:rFonts w:ascii="Raleway" w:eastAsia="Times New Roman" w:hAnsi="Raleway" w:cs="Open Sans"/>
      <w:b/>
      <w:color w:val="000000"/>
    </w:rPr>
  </w:style>
  <w:style w:type="paragraph" w:styleId="ListParagraph">
    <w:name w:val="List Paragraph"/>
    <w:basedOn w:val="Normal"/>
    <w:uiPriority w:val="34"/>
    <w:rsid w:val="001E3918"/>
    <w:pPr>
      <w:ind w:left="720"/>
      <w:contextualSpacing/>
    </w:pPr>
  </w:style>
  <w:style w:type="paragraph" w:customStyle="1" w:styleId="Footnote">
    <w:name w:val="Footnote"/>
    <w:basedOn w:val="Normal"/>
    <w:link w:val="FootnoteChar"/>
    <w:qFormat/>
    <w:rsid w:val="00724BD1"/>
    <w:pPr>
      <w:spacing w:before="120" w:after="240"/>
    </w:pPr>
    <w:rPr>
      <w:i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724BD1"/>
    <w:pPr>
      <w:spacing w:before="0" w:after="200" w:line="240" w:lineRule="auto"/>
    </w:pPr>
    <w:rPr>
      <w:i/>
      <w:iCs/>
      <w:color w:val="C1B28F" w:themeColor="text2"/>
      <w:sz w:val="18"/>
      <w:szCs w:val="18"/>
    </w:rPr>
  </w:style>
  <w:style w:type="character" w:customStyle="1" w:styleId="FootnoteChar">
    <w:name w:val="Footnote Char"/>
    <w:basedOn w:val="DefaultParagraphFont"/>
    <w:link w:val="Footnote"/>
    <w:rsid w:val="00724BD1"/>
    <w:rPr>
      <w:rFonts w:ascii="Raleway" w:eastAsia="Times New Roman" w:hAnsi="Raleway" w:cs="Open Sans"/>
      <w:i/>
      <w:color w:val="000000"/>
      <w:sz w:val="16"/>
      <w:szCs w:val="16"/>
      <w:shd w:val="clear" w:color="auto" w:fill="FFFFFF"/>
    </w:rPr>
  </w:style>
  <w:style w:type="paragraph" w:customStyle="1" w:styleId="PhotoCaptions">
    <w:name w:val="Photo Captions"/>
    <w:basedOn w:val="Normal"/>
    <w:qFormat/>
    <w:rsid w:val="00724BD1"/>
    <w:pPr>
      <w:spacing w:before="120"/>
    </w:pPr>
    <w:rPr>
      <w:i/>
    </w:rPr>
  </w:style>
  <w:style w:type="character" w:styleId="Hyperlink">
    <w:name w:val="Hyperlink"/>
    <w:basedOn w:val="DefaultParagraphFont"/>
    <w:uiPriority w:val="99"/>
    <w:unhideWhenUsed/>
    <w:rsid w:val="00C65EB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168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9B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9B4"/>
    <w:rPr>
      <w:rFonts w:ascii="Segoe UI" w:eastAsia="Times New Roman" w:hAnsi="Segoe UI" w:cs="Segoe UI"/>
      <w:color w:val="000000"/>
      <w:sz w:val="18"/>
      <w:szCs w:val="18"/>
      <w:shd w:val="clear" w:color="auto" w:fill="FFFFF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672F"/>
    <w:pPr>
      <w:shd w:val="clear" w:color="auto" w:fill="auto"/>
      <w:spacing w:before="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67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672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43897"/>
    <w:pPr>
      <w:spacing w:before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43897"/>
    <w:rPr>
      <w:rFonts w:ascii="Raleway" w:eastAsia="Times New Roman" w:hAnsi="Raleway" w:cs="Open Sans"/>
      <w:color w:val="000000"/>
      <w:sz w:val="20"/>
      <w:szCs w:val="20"/>
      <w:shd w:val="clear" w:color="auto" w:fill="FFFFFF"/>
    </w:rPr>
  </w:style>
  <w:style w:type="character" w:styleId="EndnoteReference">
    <w:name w:val="endnote reference"/>
    <w:basedOn w:val="DefaultParagraphFont"/>
    <w:uiPriority w:val="99"/>
    <w:semiHidden/>
    <w:unhideWhenUsed/>
    <w:rsid w:val="00C438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ublichealthontario.ca/fr/laboratory-services/test-information-index/enteroviru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publichealthontario.ca/fr/laboratory-services/test-information-index/monkeypox-virus" TargetMode="External"/><Relationship Id="rId17" Type="http://schemas.openxmlformats.org/officeDocument/2006/relationships/hyperlink" Target="https://www.health.gov.on.ca/fr/pro/programs/emb/monkeypox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publichealthontario.ca/fr/laboratory-services/test-information-index/enteroviru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publichealthontario.ca/fr/laboratory-services/test-information-index/varicella-zoster-virus-detection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ublichealthontario.ca/fr/laboratory-services/test-information-index/varicella-serology" TargetMode="External"/><Relationship Id="rId22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poxvirus/monkeypox/clinicians/clinical-recognition.html" TargetMode="External"/><Relationship Id="rId3" Type="http://schemas.openxmlformats.org/officeDocument/2006/relationships/hyperlink" Target="https://www.canada.ca/fr/sante-publique/services/maladies/maladie-mains-pieds-bouche.html" TargetMode="External"/><Relationship Id="rId7" Type="http://schemas.openxmlformats.org/officeDocument/2006/relationships/hyperlink" Target="https://www.cdc.gov/chickenpox/hcp/index.html%20%20" TargetMode="External"/><Relationship Id="rId2" Type="http://schemas.openxmlformats.org/officeDocument/2006/relationships/hyperlink" Target="https://www.health.gov.on.ca/en/pro/programs/publichealth/oph_standards/docs/chickenpox_chapter.pdf" TargetMode="External"/><Relationship Id="rId1" Type="http://schemas.openxmlformats.org/officeDocument/2006/relationships/hyperlink" Target="https://www.publichealthontario.ca/-/media/Documents/M/2022/wwksf-multi-jurisdictional-monkeypox-outbreak-2022.pdf?sc_lang=fr" TargetMode="External"/><Relationship Id="rId6" Type="http://schemas.openxmlformats.org/officeDocument/2006/relationships/hyperlink" Target="https://www.cdc.gov/chickenpox/downloads/Varicella-diagnosis-fact-sheet-508.pdf" TargetMode="External"/><Relationship Id="rId5" Type="http://schemas.openxmlformats.org/officeDocument/2006/relationships/hyperlink" Target="https://myhealth.alberta.ca/Health/Pages/conditions.aspx?hwid=ty6230" TargetMode="External"/><Relationship Id="rId10" Type="http://schemas.openxmlformats.org/officeDocument/2006/relationships/hyperlink" Target="https://www.who.int/emergencies/disease-outbreak-news/item/2022-DON385" TargetMode="External"/><Relationship Id="rId4" Type="http://schemas.openxmlformats.org/officeDocument/2006/relationships/hyperlink" Target="https://www.cdc.gov/mmwr/volumes/71/wr/mm7123e1.htm" TargetMode="External"/><Relationship Id="rId9" Type="http://schemas.openxmlformats.org/officeDocument/2006/relationships/hyperlink" Target="https://www.cdc.gov/hand-foot-mouth/about/signs-symptoms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oner\Downloads\Factsheet_Template-1%20(1).dotx" TargetMode="External"/></Relationships>
</file>

<file path=word/theme/theme1.xml><?xml version="1.0" encoding="utf-8"?>
<a:theme xmlns:a="http://schemas.openxmlformats.org/drawingml/2006/main" name="OntarioVI-report">
  <a:themeElements>
    <a:clrScheme name="Custom 4">
      <a:dk1>
        <a:srgbClr val="8DC63F"/>
      </a:dk1>
      <a:lt1>
        <a:srgbClr val="38B5FF"/>
      </a:lt1>
      <a:dk2>
        <a:srgbClr val="C1B28F"/>
      </a:dk2>
      <a:lt2>
        <a:srgbClr val="FCAF17"/>
      </a:lt2>
      <a:accent1>
        <a:srgbClr val="CBA52E"/>
      </a:accent1>
      <a:accent2>
        <a:srgbClr val="F15922"/>
      </a:accent2>
      <a:accent3>
        <a:srgbClr val="ED1C24"/>
      </a:accent3>
      <a:accent4>
        <a:srgbClr val="ED037C"/>
      </a:accent4>
      <a:accent5>
        <a:srgbClr val="92278F"/>
      </a:accent5>
      <a:accent6>
        <a:srgbClr val="047BC1"/>
      </a:accent6>
      <a:hlink>
        <a:srgbClr val="0563C1"/>
      </a:hlink>
      <a:folHlink>
        <a:srgbClr val="0563C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B7C8A6783BDE48A0D096D986242705" ma:contentTypeVersion="11" ma:contentTypeDescription="Create a new document." ma:contentTypeScope="" ma:versionID="70a3f4b72e8ef302ba8c32692c0048c1">
  <xsd:schema xmlns:xsd="http://www.w3.org/2001/XMLSchema" xmlns:xs="http://www.w3.org/2001/XMLSchema" xmlns:p="http://schemas.microsoft.com/office/2006/metadata/properties" xmlns:ns3="8022163d-7682-4450-abe1-587ac0f6376b" xmlns:ns4="ef354a9c-7d37-4f03-a7ba-bf428376f60d" targetNamespace="http://schemas.microsoft.com/office/2006/metadata/properties" ma:root="true" ma:fieldsID="cfca9cb68597909d19542b34ddb2f81d" ns3:_="" ns4:_="">
    <xsd:import namespace="8022163d-7682-4450-abe1-587ac0f6376b"/>
    <xsd:import namespace="ef354a9c-7d37-4f03-a7ba-bf428376f6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2163d-7682-4450-abe1-587ac0f637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54a9c-7d37-4f03-a7ba-bf428376f6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F1F5BD-2FC0-42AF-9EB0-4D7B85F13C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B1B268-0396-4748-9C05-B73D2EF5C6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133358-F73B-4CA6-93D2-65A95C37C6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A7AA2B-4CC1-447D-BEE0-5454D4D0F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22163d-7682-4450-abe1-587ac0f6376b"/>
    <ds:schemaRef ds:uri="ef354a9c-7d37-4f03-a7ba-bf428376f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Factsheet_Template-1 (1)</Template>
  <TotalTime>4</TotalTime>
  <Pages>5</Pages>
  <Words>454</Words>
  <Characters>4139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Anandakumar, Sasikala (TBS)</dc:creator>
  <cp:keywords/>
  <dc:description/>
  <cp:lastModifiedBy>Liu, Zoe (MOH)</cp:lastModifiedBy>
  <cp:revision>2</cp:revision>
  <dcterms:created xsi:type="dcterms:W3CDTF">2022-07-08T16:43:00Z</dcterms:created>
  <dcterms:modified xsi:type="dcterms:W3CDTF">2022-07-08T16:43:00Z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0x01010066B7C8A6783BDE48A0D096D986242705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2022-07-05T14:03:03Z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ActionId">
    <vt:lpwstr>7f2b6d34-0977-4dad-a4f4-887e2945c427</vt:lpwstr>
  </property>
  <property fmtid="{D5CDD505-2E9C-101B-9397-08002B2CF9AE}" pid="9" name="MSIP_Label_034a106e-6316-442c-ad35-738afd673d2b_ContentBits">
    <vt:lpwstr>0</vt:lpwstr>
  </property>
</Properties>
</file>