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96BD" w14:textId="65331904" w:rsidR="00DE51B6" w:rsidRDefault="00DE51B6" w:rsidP="00DE51B6">
      <w:pPr>
        <w:pStyle w:val="Subtitle"/>
        <w:spacing w:before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5C7230" wp14:editId="06ED75E3">
            <wp:extent cx="1170305" cy="469265"/>
            <wp:effectExtent l="0" t="0" r="0" b="0"/>
            <wp:docPr id="2" name="Picture 2" descr="Ontari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BAB76" w14:textId="456BB407" w:rsidR="00471689" w:rsidRPr="00471689" w:rsidRDefault="004F672F" w:rsidP="00471689">
      <w:pPr>
        <w:pStyle w:val="Subtitle"/>
        <w:spacing w:before="0"/>
        <w:rPr>
          <w:sz w:val="28"/>
          <w:szCs w:val="28"/>
        </w:rPr>
      </w:pPr>
      <w:r w:rsidRPr="004F672F">
        <w:rPr>
          <w:sz w:val="28"/>
          <w:szCs w:val="28"/>
        </w:rPr>
        <w:t>Ministry of Health</w:t>
      </w:r>
    </w:p>
    <w:p w14:paraId="317DB44C" w14:textId="0B2CB70B" w:rsidR="003E4DF4" w:rsidRDefault="004F672F" w:rsidP="009D1AC4">
      <w:pPr>
        <w:pStyle w:val="Heading1"/>
      </w:pPr>
      <w:r>
        <w:t xml:space="preserve">Fact Sheet: </w:t>
      </w:r>
      <w:r w:rsidRPr="004F672F">
        <w:t>Monkeypox</w:t>
      </w:r>
      <w:r>
        <w:t xml:space="preserve"> - </w:t>
      </w:r>
      <w:r w:rsidRPr="004F672F">
        <w:t>Reference guide comparing monkeypox, chickenpox, and hand-foot-and-mouth disease</w:t>
      </w:r>
    </w:p>
    <w:tbl>
      <w:tblPr>
        <w:tblStyle w:val="TableGrid"/>
        <w:tblW w:w="13149" w:type="dxa"/>
        <w:tblLayout w:type="fixed"/>
        <w:tblLook w:val="04A0" w:firstRow="1" w:lastRow="0" w:firstColumn="1" w:lastColumn="0" w:noHBand="0" w:noVBand="1"/>
      </w:tblPr>
      <w:tblGrid>
        <w:gridCol w:w="2405"/>
        <w:gridCol w:w="3373"/>
        <w:gridCol w:w="4083"/>
        <w:gridCol w:w="3288"/>
      </w:tblGrid>
      <w:tr w:rsidR="004F672F" w:rsidRPr="004F672F" w14:paraId="09EA8DEB" w14:textId="77777777" w:rsidTr="004670D1">
        <w:trPr>
          <w:cantSplit/>
          <w:tblHeader/>
        </w:trPr>
        <w:tc>
          <w:tcPr>
            <w:tcW w:w="2405" w:type="dxa"/>
          </w:tcPr>
          <w:p w14:paraId="1A852B46" w14:textId="77777777" w:rsidR="004F672F" w:rsidRPr="004F672F" w:rsidRDefault="004F672F" w:rsidP="004C348A">
            <w:pPr>
              <w:pStyle w:val="Heading3"/>
              <w:spacing w:before="120" w:after="120" w:line="23" w:lineRule="atLeast"/>
              <w:rPr>
                <w:b/>
                <w:bCs/>
                <w:i w:val="0"/>
                <w:iCs/>
              </w:rPr>
            </w:pPr>
            <w:r w:rsidRPr="004F672F">
              <w:rPr>
                <w:b/>
                <w:bCs/>
                <w:i w:val="0"/>
                <w:iCs/>
              </w:rPr>
              <w:t>Category</w:t>
            </w:r>
          </w:p>
        </w:tc>
        <w:tc>
          <w:tcPr>
            <w:tcW w:w="3373" w:type="dxa"/>
          </w:tcPr>
          <w:p w14:paraId="01D9DA2D" w14:textId="77777777" w:rsidR="004F672F" w:rsidRPr="004F672F" w:rsidRDefault="004F672F" w:rsidP="004C348A">
            <w:pPr>
              <w:pStyle w:val="Heading3"/>
              <w:spacing w:before="120" w:after="120" w:line="23" w:lineRule="atLeast"/>
              <w:rPr>
                <w:b/>
                <w:bCs/>
                <w:i w:val="0"/>
                <w:iCs/>
              </w:rPr>
            </w:pPr>
            <w:r w:rsidRPr="004F672F">
              <w:rPr>
                <w:b/>
                <w:bCs/>
                <w:i w:val="0"/>
                <w:iCs/>
              </w:rPr>
              <w:t>Monkeypox</w:t>
            </w:r>
          </w:p>
        </w:tc>
        <w:tc>
          <w:tcPr>
            <w:tcW w:w="4083" w:type="dxa"/>
          </w:tcPr>
          <w:p w14:paraId="1D93973D" w14:textId="77777777" w:rsidR="004F672F" w:rsidRPr="004F672F" w:rsidRDefault="004F672F" w:rsidP="004C348A">
            <w:pPr>
              <w:pStyle w:val="Heading3"/>
              <w:spacing w:before="120" w:after="120" w:line="23" w:lineRule="atLeast"/>
              <w:rPr>
                <w:b/>
                <w:bCs/>
                <w:i w:val="0"/>
                <w:iCs/>
              </w:rPr>
            </w:pPr>
            <w:r w:rsidRPr="004F672F">
              <w:rPr>
                <w:b/>
                <w:bCs/>
                <w:i w:val="0"/>
                <w:iCs/>
              </w:rPr>
              <w:t xml:space="preserve">Chickenpox </w:t>
            </w:r>
          </w:p>
        </w:tc>
        <w:tc>
          <w:tcPr>
            <w:tcW w:w="3288" w:type="dxa"/>
          </w:tcPr>
          <w:p w14:paraId="421DBD0E" w14:textId="77777777" w:rsidR="004F672F" w:rsidRPr="004F672F" w:rsidRDefault="004F672F" w:rsidP="004C348A">
            <w:pPr>
              <w:pStyle w:val="Heading3"/>
              <w:spacing w:before="120" w:after="120" w:line="23" w:lineRule="atLeast"/>
              <w:rPr>
                <w:b/>
                <w:bCs/>
                <w:i w:val="0"/>
                <w:iCs/>
              </w:rPr>
            </w:pPr>
            <w:r w:rsidRPr="004F672F">
              <w:rPr>
                <w:b/>
                <w:bCs/>
                <w:i w:val="0"/>
                <w:iCs/>
              </w:rPr>
              <w:t>Hand-Foot-and-Mouth Disease</w:t>
            </w:r>
          </w:p>
        </w:tc>
      </w:tr>
      <w:tr w:rsidR="004F672F" w:rsidRPr="00256760" w14:paraId="1B737BEA" w14:textId="77777777" w:rsidTr="004670D1">
        <w:trPr>
          <w:cantSplit/>
        </w:trPr>
        <w:tc>
          <w:tcPr>
            <w:tcW w:w="2405" w:type="dxa"/>
          </w:tcPr>
          <w:p w14:paraId="06531CF5" w14:textId="77777777" w:rsidR="004F672F" w:rsidRPr="00466652" w:rsidRDefault="004F672F" w:rsidP="004C348A">
            <w:pPr>
              <w:spacing w:before="120" w:after="120" w:line="23" w:lineRule="atLeast"/>
              <w:rPr>
                <w:b/>
              </w:rPr>
            </w:pPr>
            <w:r w:rsidRPr="00466652">
              <w:rPr>
                <w:b/>
              </w:rPr>
              <w:t>Virus</w:t>
            </w:r>
          </w:p>
        </w:tc>
        <w:tc>
          <w:tcPr>
            <w:tcW w:w="3373" w:type="dxa"/>
          </w:tcPr>
          <w:p w14:paraId="3D8A9967" w14:textId="4F4FA363" w:rsidR="004F672F" w:rsidRPr="00C43897" w:rsidRDefault="004F672F" w:rsidP="004C348A">
            <w:pPr>
              <w:spacing w:before="120" w:after="120" w:line="23" w:lineRule="atLeast"/>
            </w:pPr>
            <w:r w:rsidRPr="00093E0B">
              <w:rPr>
                <w:i/>
                <w:iCs/>
              </w:rPr>
              <w:t>Monkeypox virus</w:t>
            </w:r>
            <w:bookmarkStart w:id="0" w:name="_Ref107905468"/>
            <w:r w:rsidR="00C43897" w:rsidRPr="00C43897">
              <w:rPr>
                <w:rStyle w:val="EndnoteReference"/>
              </w:rPr>
              <w:endnoteReference w:id="1"/>
            </w:r>
            <w:bookmarkEnd w:id="0"/>
          </w:p>
        </w:tc>
        <w:tc>
          <w:tcPr>
            <w:tcW w:w="4083" w:type="dxa"/>
          </w:tcPr>
          <w:p w14:paraId="092BD951" w14:textId="7BDF2BB5" w:rsidR="004F672F" w:rsidRPr="00B50466" w:rsidRDefault="004F672F" w:rsidP="004C348A">
            <w:pPr>
              <w:spacing w:before="120" w:after="120" w:line="23" w:lineRule="atLeast"/>
            </w:pPr>
            <w:r w:rsidRPr="00093E0B">
              <w:rPr>
                <w:i/>
                <w:iCs/>
              </w:rPr>
              <w:t>Varicella zoster virus</w:t>
            </w:r>
            <w:r w:rsidRPr="00256760">
              <w:t xml:space="preserve"> </w:t>
            </w:r>
            <w:r w:rsidRPr="319EA5BD">
              <w:t>(VZV)</w:t>
            </w:r>
            <w:bookmarkStart w:id="1" w:name="_Ref107905505"/>
            <w:r w:rsidR="00B50466">
              <w:rPr>
                <w:rStyle w:val="EndnoteReference"/>
              </w:rPr>
              <w:endnoteReference w:id="2"/>
            </w:r>
            <w:bookmarkEnd w:id="1"/>
          </w:p>
        </w:tc>
        <w:tc>
          <w:tcPr>
            <w:tcW w:w="3288" w:type="dxa"/>
          </w:tcPr>
          <w:p w14:paraId="723CA42E" w14:textId="0D2B27C7" w:rsidR="004F672F" w:rsidRPr="00B50466" w:rsidRDefault="004F672F" w:rsidP="004C348A">
            <w:pPr>
              <w:spacing w:before="120" w:after="120" w:line="23" w:lineRule="atLeast"/>
            </w:pPr>
            <w:r w:rsidRPr="00696C48">
              <w:rPr>
                <w:i/>
                <w:iCs/>
              </w:rPr>
              <w:t>Enteroviruses</w:t>
            </w:r>
            <w:r>
              <w:t xml:space="preserve"> (e.g. </w:t>
            </w:r>
            <w:r w:rsidRPr="00466652">
              <w:t xml:space="preserve"> Coxsackievirus A16</w:t>
            </w:r>
            <w:r>
              <w:t xml:space="preserve">, </w:t>
            </w:r>
            <w:r w:rsidRPr="00466652">
              <w:t>Enterovirus 71</w:t>
            </w:r>
            <w:r>
              <w:t>)</w:t>
            </w:r>
            <w:bookmarkStart w:id="2" w:name="_Ref107905526"/>
            <w:r w:rsidR="00B50466">
              <w:rPr>
                <w:rStyle w:val="EndnoteReference"/>
              </w:rPr>
              <w:endnoteReference w:id="3"/>
            </w:r>
            <w:bookmarkEnd w:id="2"/>
          </w:p>
        </w:tc>
      </w:tr>
      <w:tr w:rsidR="004F672F" w:rsidRPr="00466652" w14:paraId="03B60945" w14:textId="77777777" w:rsidTr="004670D1">
        <w:trPr>
          <w:cantSplit/>
        </w:trPr>
        <w:tc>
          <w:tcPr>
            <w:tcW w:w="2405" w:type="dxa"/>
          </w:tcPr>
          <w:p w14:paraId="38657595" w14:textId="77777777" w:rsidR="004F672F" w:rsidRPr="00466652" w:rsidRDefault="004F672F" w:rsidP="004C348A">
            <w:pPr>
              <w:spacing w:before="120" w:after="120" w:line="23" w:lineRule="atLeast"/>
              <w:rPr>
                <w:b/>
              </w:rPr>
            </w:pPr>
            <w:r w:rsidRPr="00466652">
              <w:rPr>
                <w:b/>
              </w:rPr>
              <w:t>Incubation period</w:t>
            </w:r>
          </w:p>
        </w:tc>
        <w:tc>
          <w:tcPr>
            <w:tcW w:w="3373" w:type="dxa"/>
          </w:tcPr>
          <w:p w14:paraId="275CAA19" w14:textId="431A3480" w:rsidR="004F672F" w:rsidRPr="00B50466" w:rsidRDefault="004F672F" w:rsidP="004C348A">
            <w:pPr>
              <w:spacing w:before="120" w:after="120" w:line="23" w:lineRule="atLeast"/>
            </w:pPr>
            <w:r w:rsidRPr="00256760">
              <w:t>5-21 days</w:t>
            </w:r>
            <w:r w:rsidR="00B50466" w:rsidRPr="00B50466">
              <w:rPr>
                <w:vertAlign w:val="superscript"/>
              </w:rPr>
              <w:fldChar w:fldCharType="begin"/>
            </w:r>
            <w:r w:rsidR="00B50466" w:rsidRPr="00B50466">
              <w:rPr>
                <w:vertAlign w:val="superscript"/>
              </w:rPr>
              <w:instrText xml:space="preserve"> NOTEREF _Ref107905468 \h </w:instrText>
            </w:r>
            <w:r w:rsidR="00B50466" w:rsidRPr="00B50466">
              <w:rPr>
                <w:vertAlign w:val="superscript"/>
              </w:rPr>
            </w:r>
            <w:r w:rsidR="00B50466">
              <w:rPr>
                <w:vertAlign w:val="superscript"/>
              </w:rPr>
              <w:instrText xml:space="preserve"> \* MERGEFORMAT </w:instrText>
            </w:r>
            <w:r w:rsidR="00B50466" w:rsidRPr="00B50466">
              <w:rPr>
                <w:vertAlign w:val="superscript"/>
              </w:rPr>
              <w:fldChar w:fldCharType="separate"/>
            </w:r>
            <w:r w:rsidR="00B50466" w:rsidRPr="00B50466">
              <w:rPr>
                <w:vertAlign w:val="superscript"/>
              </w:rPr>
              <w:t>1</w:t>
            </w:r>
            <w:r w:rsidR="00B50466" w:rsidRPr="00B50466">
              <w:rPr>
                <w:vertAlign w:val="superscript"/>
              </w:rPr>
              <w:fldChar w:fldCharType="end"/>
            </w:r>
          </w:p>
        </w:tc>
        <w:tc>
          <w:tcPr>
            <w:tcW w:w="4083" w:type="dxa"/>
          </w:tcPr>
          <w:p w14:paraId="28F65A2C" w14:textId="47B15350" w:rsidR="004F672F" w:rsidRPr="00B50466" w:rsidRDefault="004F672F" w:rsidP="004C348A">
            <w:pPr>
              <w:spacing w:before="120" w:after="120" w:line="23" w:lineRule="atLeast"/>
            </w:pPr>
            <w:r w:rsidRPr="00256760">
              <w:t>10-21 days, but can be up to 28 days in breakthrough</w:t>
            </w:r>
            <w:r w:rsidR="00CB6D36">
              <w:rPr>
                <w:rStyle w:val="FootnoteReference"/>
              </w:rPr>
              <w:footnoteReference w:id="1"/>
            </w:r>
            <w:r w:rsidRPr="00256760">
              <w:t xml:space="preserve"> </w:t>
            </w:r>
            <w:r w:rsidRPr="00987D1A">
              <w:t>infections</w:t>
            </w:r>
            <w:r w:rsidR="00B50466" w:rsidRPr="00B50466">
              <w:rPr>
                <w:vertAlign w:val="superscript"/>
              </w:rPr>
              <w:fldChar w:fldCharType="begin"/>
            </w:r>
            <w:r w:rsidR="00B50466" w:rsidRPr="00B50466">
              <w:rPr>
                <w:vertAlign w:val="superscript"/>
              </w:rPr>
              <w:instrText xml:space="preserve"> NOTEREF _Ref107905505 \h </w:instrText>
            </w:r>
            <w:r w:rsidR="00B50466" w:rsidRPr="00B50466">
              <w:rPr>
                <w:vertAlign w:val="superscript"/>
              </w:rPr>
            </w:r>
            <w:r w:rsidR="00B50466">
              <w:rPr>
                <w:vertAlign w:val="superscript"/>
              </w:rPr>
              <w:instrText xml:space="preserve"> \* MERGEFORMAT </w:instrText>
            </w:r>
            <w:r w:rsidR="00B50466" w:rsidRPr="00B50466">
              <w:rPr>
                <w:vertAlign w:val="superscript"/>
              </w:rPr>
              <w:fldChar w:fldCharType="separate"/>
            </w:r>
            <w:r w:rsidR="00B50466" w:rsidRPr="00B50466">
              <w:rPr>
                <w:vertAlign w:val="superscript"/>
              </w:rPr>
              <w:t>2</w:t>
            </w:r>
            <w:r w:rsidR="00B50466" w:rsidRPr="00B50466">
              <w:rPr>
                <w:vertAlign w:val="superscript"/>
              </w:rPr>
              <w:fldChar w:fldCharType="end"/>
            </w:r>
          </w:p>
        </w:tc>
        <w:tc>
          <w:tcPr>
            <w:tcW w:w="3288" w:type="dxa"/>
          </w:tcPr>
          <w:p w14:paraId="0DEE22B4" w14:textId="46619C4A" w:rsidR="004F672F" w:rsidRPr="00466652" w:rsidRDefault="004F672F" w:rsidP="004C348A">
            <w:pPr>
              <w:spacing w:before="120" w:after="120" w:line="23" w:lineRule="atLeast"/>
            </w:pPr>
            <w:r w:rsidRPr="00466652">
              <w:t>3-7 days</w:t>
            </w:r>
            <w:r w:rsidR="00B50466" w:rsidRPr="00B50466">
              <w:rPr>
                <w:vertAlign w:val="superscript"/>
              </w:rPr>
              <w:fldChar w:fldCharType="begin"/>
            </w:r>
            <w:r w:rsidR="00B50466" w:rsidRPr="00B50466">
              <w:rPr>
                <w:vertAlign w:val="superscript"/>
              </w:rPr>
              <w:instrText xml:space="preserve"> NOTEREF _Ref107905526 \h </w:instrText>
            </w:r>
            <w:r w:rsidR="00B50466" w:rsidRPr="00B50466">
              <w:rPr>
                <w:vertAlign w:val="superscript"/>
              </w:rPr>
            </w:r>
            <w:r w:rsidR="00B50466" w:rsidRPr="00B50466">
              <w:rPr>
                <w:vertAlign w:val="superscript"/>
              </w:rPr>
              <w:instrText xml:space="preserve"> \* MERGEFORMAT </w:instrText>
            </w:r>
            <w:r w:rsidR="00B50466" w:rsidRPr="00B50466">
              <w:rPr>
                <w:vertAlign w:val="superscript"/>
              </w:rPr>
              <w:fldChar w:fldCharType="separate"/>
            </w:r>
            <w:r w:rsidR="00B50466" w:rsidRPr="00B50466">
              <w:rPr>
                <w:vertAlign w:val="superscript"/>
              </w:rPr>
              <w:t>3</w:t>
            </w:r>
            <w:r w:rsidR="00B50466" w:rsidRPr="00B50466">
              <w:rPr>
                <w:vertAlign w:val="superscript"/>
              </w:rPr>
              <w:fldChar w:fldCharType="end"/>
            </w:r>
          </w:p>
        </w:tc>
      </w:tr>
      <w:tr w:rsidR="004F672F" w:rsidRPr="00256760" w14:paraId="4D686912" w14:textId="77777777" w:rsidTr="004670D1">
        <w:trPr>
          <w:cantSplit/>
        </w:trPr>
        <w:tc>
          <w:tcPr>
            <w:tcW w:w="2405" w:type="dxa"/>
          </w:tcPr>
          <w:p w14:paraId="798E402E" w14:textId="77777777" w:rsidR="004F672F" w:rsidRPr="00466652" w:rsidRDefault="004F672F" w:rsidP="004C348A">
            <w:pPr>
              <w:spacing w:before="120" w:after="120" w:line="23" w:lineRule="atLeast"/>
              <w:rPr>
                <w:b/>
              </w:rPr>
            </w:pPr>
            <w:r w:rsidRPr="00466652">
              <w:rPr>
                <w:b/>
              </w:rPr>
              <w:t>Fever</w:t>
            </w:r>
          </w:p>
        </w:tc>
        <w:tc>
          <w:tcPr>
            <w:tcW w:w="3373" w:type="dxa"/>
          </w:tcPr>
          <w:p w14:paraId="614113AE" w14:textId="5F679319" w:rsidR="004F672F" w:rsidRPr="00CB6D36" w:rsidRDefault="004F672F" w:rsidP="004C348A">
            <w:pPr>
              <w:spacing w:before="120" w:after="120" w:line="23" w:lineRule="atLeast"/>
            </w:pPr>
            <w:r w:rsidRPr="00466652">
              <w:t>May occur</w:t>
            </w:r>
            <w:bookmarkStart w:id="3" w:name="_Ref107906408"/>
            <w:r w:rsidR="00B50466">
              <w:rPr>
                <w:rStyle w:val="FootnoteReference"/>
              </w:rPr>
              <w:footnoteReference w:id="2"/>
            </w:r>
            <w:bookmarkEnd w:id="3"/>
            <w:r w:rsidRPr="00466652">
              <w:t>, most commonly 1-3 days before rash</w:t>
            </w:r>
            <w:r w:rsidRPr="00256760">
              <w:t xml:space="preserve"> onset</w:t>
            </w:r>
            <w:r w:rsidR="00CB6D36" w:rsidRPr="00B50466">
              <w:rPr>
                <w:vertAlign w:val="superscript"/>
              </w:rPr>
              <w:fldChar w:fldCharType="begin"/>
            </w:r>
            <w:r w:rsidR="00CB6D36" w:rsidRPr="00B50466">
              <w:rPr>
                <w:vertAlign w:val="superscript"/>
              </w:rPr>
              <w:instrText xml:space="preserve"> NOTEREF _Ref107905468 \h </w:instrText>
            </w:r>
            <w:r w:rsidR="00CB6D36" w:rsidRPr="00B50466">
              <w:rPr>
                <w:vertAlign w:val="superscript"/>
              </w:rPr>
            </w:r>
            <w:r w:rsidR="00CB6D36">
              <w:rPr>
                <w:vertAlign w:val="superscript"/>
              </w:rPr>
              <w:instrText xml:space="preserve"> \* MERGEFORMAT </w:instrText>
            </w:r>
            <w:r w:rsidR="00CB6D36" w:rsidRPr="00B50466">
              <w:rPr>
                <w:vertAlign w:val="superscript"/>
              </w:rPr>
              <w:fldChar w:fldCharType="separate"/>
            </w:r>
            <w:r w:rsidR="00CB6D36" w:rsidRPr="00B50466">
              <w:rPr>
                <w:vertAlign w:val="superscript"/>
              </w:rPr>
              <w:t>1</w:t>
            </w:r>
            <w:r w:rsidR="00CB6D36" w:rsidRPr="00B50466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>,</w:t>
            </w:r>
            <w:bookmarkStart w:id="4" w:name="_Ref107907003"/>
            <w:r w:rsidR="00CB6D36">
              <w:rPr>
                <w:rStyle w:val="EndnoteReference"/>
              </w:rPr>
              <w:endnoteReference w:id="4"/>
            </w:r>
            <w:bookmarkEnd w:id="4"/>
          </w:p>
        </w:tc>
        <w:tc>
          <w:tcPr>
            <w:tcW w:w="4083" w:type="dxa"/>
          </w:tcPr>
          <w:p w14:paraId="189CD481" w14:textId="7BA87E64" w:rsidR="004F672F" w:rsidRPr="00256760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4D355A">
              <w:rPr>
                <w:b/>
                <w:i/>
              </w:rPr>
              <w:t>Unvaccinated:</w:t>
            </w:r>
            <w:r w:rsidRPr="00466652">
              <w:t xml:space="preserve"> Mild if present, 1-2 days before rash</w:t>
            </w:r>
            <w:r w:rsidR="00E847EA" w:rsidRPr="00B50466">
              <w:rPr>
                <w:vertAlign w:val="superscript"/>
              </w:rPr>
              <w:fldChar w:fldCharType="begin"/>
            </w:r>
            <w:r w:rsidR="00E847EA" w:rsidRPr="00B50466">
              <w:rPr>
                <w:vertAlign w:val="superscript"/>
              </w:rPr>
              <w:instrText xml:space="preserve"> NOTEREF _Ref107905505 \h </w:instrText>
            </w:r>
            <w:r w:rsidR="00E847EA" w:rsidRPr="00B50466">
              <w:rPr>
                <w:vertAlign w:val="superscript"/>
              </w:rPr>
            </w:r>
            <w:r w:rsidR="00E847EA">
              <w:rPr>
                <w:vertAlign w:val="superscript"/>
              </w:rPr>
              <w:instrText xml:space="preserve"> \* MERGEFORMAT </w:instrText>
            </w:r>
            <w:r w:rsidR="00E847EA" w:rsidRPr="00B50466">
              <w:rPr>
                <w:vertAlign w:val="superscript"/>
              </w:rPr>
              <w:fldChar w:fldCharType="separate"/>
            </w:r>
            <w:r w:rsidR="00E847EA" w:rsidRPr="00B50466">
              <w:rPr>
                <w:vertAlign w:val="superscript"/>
              </w:rPr>
              <w:t>2</w:t>
            </w:r>
            <w:r w:rsidR="00E847EA" w:rsidRPr="00B50466">
              <w:rPr>
                <w:vertAlign w:val="superscript"/>
              </w:rPr>
              <w:fldChar w:fldCharType="end"/>
            </w:r>
          </w:p>
          <w:p w14:paraId="5391079E" w14:textId="77777777" w:rsidR="004F672F" w:rsidRPr="00256760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4D355A">
              <w:rPr>
                <w:b/>
                <w:i/>
              </w:rPr>
              <w:t>Breakthrough</w:t>
            </w:r>
            <w:r w:rsidRPr="00466652">
              <w:t xml:space="preserve">: </w:t>
            </w:r>
            <w:r>
              <w:t>Less common</w:t>
            </w:r>
            <w:r w:rsidRPr="00256760">
              <w:rPr>
                <w:vertAlign w:val="superscript"/>
              </w:rPr>
              <w:t>2</w:t>
            </w:r>
          </w:p>
        </w:tc>
        <w:tc>
          <w:tcPr>
            <w:tcW w:w="3288" w:type="dxa"/>
          </w:tcPr>
          <w:p w14:paraId="7DDE1F6C" w14:textId="016B6ADC" w:rsidR="004F672F" w:rsidRPr="00CB6D36" w:rsidRDefault="004F672F" w:rsidP="004C348A">
            <w:pPr>
              <w:spacing w:before="120" w:after="120" w:line="23" w:lineRule="atLeast"/>
            </w:pPr>
            <w:r w:rsidRPr="00466652">
              <w:t xml:space="preserve">1-2 days before </w:t>
            </w:r>
            <w:r>
              <w:t xml:space="preserve">oral </w:t>
            </w:r>
            <w:r w:rsidRPr="00466652">
              <w:t>v</w:t>
            </w:r>
            <w:r w:rsidRPr="319EA5BD">
              <w:t>esicles</w:t>
            </w:r>
            <w:r w:rsidR="00E847EA">
              <w:rPr>
                <w:rStyle w:val="EndnoteReference"/>
              </w:rPr>
              <w:endnoteReference w:id="5"/>
            </w:r>
          </w:p>
        </w:tc>
      </w:tr>
      <w:tr w:rsidR="004F672F" w:rsidRPr="00256760" w14:paraId="268E09FF" w14:textId="77777777" w:rsidTr="004670D1">
        <w:trPr>
          <w:cantSplit/>
        </w:trPr>
        <w:tc>
          <w:tcPr>
            <w:tcW w:w="2405" w:type="dxa"/>
          </w:tcPr>
          <w:p w14:paraId="3993B4AD" w14:textId="77777777" w:rsidR="004F672F" w:rsidRPr="00466652" w:rsidRDefault="004F672F" w:rsidP="004C348A">
            <w:pPr>
              <w:spacing w:before="120" w:after="120" w:line="23" w:lineRule="atLeast"/>
              <w:rPr>
                <w:b/>
              </w:rPr>
            </w:pPr>
            <w:r w:rsidRPr="00466652">
              <w:rPr>
                <w:b/>
              </w:rPr>
              <w:t>Lymphadenopathy</w:t>
            </w:r>
          </w:p>
        </w:tc>
        <w:tc>
          <w:tcPr>
            <w:tcW w:w="3373" w:type="dxa"/>
          </w:tcPr>
          <w:p w14:paraId="72872238" w14:textId="13ABD902" w:rsidR="004F672F" w:rsidRPr="00466652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466652">
              <w:t>May occur</w:t>
            </w:r>
            <w:r w:rsidR="00E847EA" w:rsidRPr="00B50466">
              <w:rPr>
                <w:vertAlign w:val="superscript"/>
              </w:rPr>
              <w:fldChar w:fldCharType="begin"/>
            </w:r>
            <w:r w:rsidR="00E847EA" w:rsidRPr="00B50466">
              <w:rPr>
                <w:vertAlign w:val="superscript"/>
              </w:rPr>
              <w:instrText xml:space="preserve"> NOTEREF _Ref107905468 \h </w:instrText>
            </w:r>
            <w:r w:rsidR="00E847EA" w:rsidRPr="00B50466">
              <w:rPr>
                <w:vertAlign w:val="superscript"/>
              </w:rPr>
            </w:r>
            <w:r w:rsidR="00E847EA">
              <w:rPr>
                <w:vertAlign w:val="superscript"/>
              </w:rPr>
              <w:instrText xml:space="preserve"> \* MERGEFORMAT </w:instrText>
            </w:r>
            <w:r w:rsidR="00E847EA" w:rsidRPr="00B50466">
              <w:rPr>
                <w:vertAlign w:val="superscript"/>
              </w:rPr>
              <w:fldChar w:fldCharType="separate"/>
            </w:r>
            <w:r w:rsidR="00E847EA" w:rsidRPr="00B50466">
              <w:rPr>
                <w:vertAlign w:val="superscript"/>
              </w:rPr>
              <w:t>1</w:t>
            </w:r>
            <w:r w:rsidR="00E847EA" w:rsidRPr="00B50466">
              <w:rPr>
                <w:vertAlign w:val="superscript"/>
              </w:rPr>
              <w:fldChar w:fldCharType="end"/>
            </w:r>
          </w:p>
        </w:tc>
        <w:tc>
          <w:tcPr>
            <w:tcW w:w="4083" w:type="dxa"/>
          </w:tcPr>
          <w:p w14:paraId="4538A239" w14:textId="15155BE2" w:rsidR="004F672F" w:rsidRPr="00256760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Less common</w:t>
            </w:r>
            <w:r w:rsidR="00E847EA" w:rsidRPr="00B50466">
              <w:rPr>
                <w:vertAlign w:val="superscript"/>
              </w:rPr>
              <w:fldChar w:fldCharType="begin"/>
            </w:r>
            <w:r w:rsidR="00E847EA" w:rsidRPr="00B50466">
              <w:rPr>
                <w:vertAlign w:val="superscript"/>
              </w:rPr>
              <w:instrText xml:space="preserve"> NOTEREF _Ref107905468 \h </w:instrText>
            </w:r>
            <w:r w:rsidR="00E847EA" w:rsidRPr="00B50466">
              <w:rPr>
                <w:vertAlign w:val="superscript"/>
              </w:rPr>
            </w:r>
            <w:r w:rsidR="00E847EA">
              <w:rPr>
                <w:vertAlign w:val="superscript"/>
              </w:rPr>
              <w:instrText xml:space="preserve"> \* MERGEFORMAT </w:instrText>
            </w:r>
            <w:r w:rsidR="00E847EA" w:rsidRPr="00B50466">
              <w:rPr>
                <w:vertAlign w:val="superscript"/>
              </w:rPr>
              <w:fldChar w:fldCharType="separate"/>
            </w:r>
            <w:r w:rsidR="00E847EA" w:rsidRPr="00B50466">
              <w:rPr>
                <w:vertAlign w:val="superscript"/>
              </w:rPr>
              <w:t>1</w:t>
            </w:r>
            <w:r w:rsidR="00E847EA" w:rsidRPr="00B50466">
              <w:rPr>
                <w:vertAlign w:val="superscript"/>
              </w:rPr>
              <w:fldChar w:fldCharType="end"/>
            </w:r>
          </w:p>
        </w:tc>
        <w:tc>
          <w:tcPr>
            <w:tcW w:w="3288" w:type="dxa"/>
          </w:tcPr>
          <w:p w14:paraId="28B4437E" w14:textId="422FCBCD" w:rsidR="004F672F" w:rsidRPr="00256760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Less common</w:t>
            </w:r>
            <w:r w:rsidR="00E847EA" w:rsidRPr="00B50466">
              <w:rPr>
                <w:vertAlign w:val="superscript"/>
              </w:rPr>
              <w:fldChar w:fldCharType="begin"/>
            </w:r>
            <w:r w:rsidR="00E847EA" w:rsidRPr="00B50466">
              <w:rPr>
                <w:vertAlign w:val="superscript"/>
              </w:rPr>
              <w:instrText xml:space="preserve"> NOTEREF _Ref107905526 \h </w:instrText>
            </w:r>
            <w:r w:rsidR="00E847EA" w:rsidRPr="00B50466">
              <w:rPr>
                <w:vertAlign w:val="superscript"/>
              </w:rPr>
            </w:r>
            <w:r w:rsidR="00E847EA" w:rsidRPr="00B50466">
              <w:rPr>
                <w:vertAlign w:val="superscript"/>
              </w:rPr>
              <w:instrText xml:space="preserve"> \* MERGEFORMAT </w:instrText>
            </w:r>
            <w:r w:rsidR="00E847EA" w:rsidRPr="00B50466">
              <w:rPr>
                <w:vertAlign w:val="superscript"/>
              </w:rPr>
              <w:fldChar w:fldCharType="separate"/>
            </w:r>
            <w:r w:rsidR="00E847EA" w:rsidRPr="00B50466">
              <w:rPr>
                <w:vertAlign w:val="superscript"/>
              </w:rPr>
              <w:t>3</w:t>
            </w:r>
            <w:r w:rsidR="00E847EA" w:rsidRPr="00B50466">
              <w:rPr>
                <w:vertAlign w:val="superscript"/>
              </w:rPr>
              <w:fldChar w:fldCharType="end"/>
            </w:r>
          </w:p>
        </w:tc>
      </w:tr>
      <w:tr w:rsidR="004F672F" w:rsidRPr="00B57EF4" w14:paraId="1F14B64B" w14:textId="77777777" w:rsidTr="004670D1">
        <w:trPr>
          <w:cantSplit/>
        </w:trPr>
        <w:tc>
          <w:tcPr>
            <w:tcW w:w="2405" w:type="dxa"/>
          </w:tcPr>
          <w:p w14:paraId="32225195" w14:textId="77777777" w:rsidR="004F672F" w:rsidRPr="00466652" w:rsidRDefault="004F672F" w:rsidP="004C348A">
            <w:pPr>
              <w:spacing w:before="120" w:after="120" w:line="23" w:lineRule="atLeast"/>
              <w:rPr>
                <w:b/>
              </w:rPr>
            </w:pPr>
            <w:r>
              <w:rPr>
                <w:b/>
              </w:rPr>
              <w:lastRenderedPageBreak/>
              <w:t xml:space="preserve">Rash appearance </w:t>
            </w:r>
          </w:p>
        </w:tc>
        <w:tc>
          <w:tcPr>
            <w:tcW w:w="3373" w:type="dxa"/>
          </w:tcPr>
          <w:p w14:paraId="69A081B7" w14:textId="1BB862F2" w:rsidR="004F672F" w:rsidRPr="00593CD6" w:rsidRDefault="004F672F" w:rsidP="004C348A">
            <w:pPr>
              <w:spacing w:before="120" w:after="120" w:line="23" w:lineRule="atLeast"/>
            </w:pPr>
            <w:r>
              <w:t xml:space="preserve">Appears at the site of </w:t>
            </w:r>
            <w:proofErr w:type="spellStart"/>
            <w:r>
              <w:t>inoculation</w:t>
            </w:r>
            <w:r w:rsidR="00E847EA" w:rsidRPr="00E847EA">
              <w:rPr>
                <w:vertAlign w:val="superscript"/>
              </w:rPr>
              <w:fldChar w:fldCharType="begin"/>
            </w:r>
            <w:r w:rsidR="00E847EA" w:rsidRPr="00E847EA">
              <w:rPr>
                <w:vertAlign w:val="superscript"/>
              </w:rPr>
              <w:instrText xml:space="preserve"> NOTEREF _Ref107906408 \h </w:instrText>
            </w:r>
            <w:r w:rsidR="00E847EA" w:rsidRPr="00E847EA">
              <w:rPr>
                <w:vertAlign w:val="superscript"/>
              </w:rPr>
            </w:r>
            <w:r w:rsidR="00E847EA" w:rsidRPr="00E847EA">
              <w:rPr>
                <w:vertAlign w:val="superscript"/>
              </w:rPr>
              <w:instrText xml:space="preserve"> \* MERGEFORMAT </w:instrText>
            </w:r>
            <w:r w:rsidR="00E847EA" w:rsidRPr="00E847EA">
              <w:rPr>
                <w:vertAlign w:val="superscript"/>
              </w:rPr>
              <w:fldChar w:fldCharType="separate"/>
            </w:r>
            <w:r w:rsidR="00E847EA" w:rsidRPr="00E847EA">
              <w:rPr>
                <w:vertAlign w:val="superscript"/>
              </w:rPr>
              <w:t>b</w:t>
            </w:r>
            <w:proofErr w:type="spellEnd"/>
            <w:r w:rsidR="00E847EA" w:rsidRPr="00E847EA">
              <w:rPr>
                <w:vertAlign w:val="superscript"/>
              </w:rPr>
              <w:fldChar w:fldCharType="end"/>
            </w:r>
            <w:r w:rsidRPr="00593CD6">
              <w:t>, then</w:t>
            </w:r>
            <w:r>
              <w:t xml:space="preserve"> may appear on </w:t>
            </w:r>
            <w:r w:rsidRPr="00593CD6">
              <w:t>other parts of the body,</w:t>
            </w:r>
            <w:r>
              <w:t xml:space="preserve"> </w:t>
            </w:r>
            <w:r w:rsidRPr="00593CD6">
              <w:t>including</w:t>
            </w:r>
            <w:r>
              <w:rPr>
                <w:vertAlign w:val="superscript"/>
              </w:rPr>
              <w:t>1</w:t>
            </w:r>
            <w:r w:rsidRPr="00593CD6">
              <w:t>:</w:t>
            </w:r>
          </w:p>
          <w:p w14:paraId="4D9D3959" w14:textId="08640B2D" w:rsidR="004F672F" w:rsidRPr="00256760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</w:pPr>
            <w:r>
              <w:t>oral mucosa</w:t>
            </w:r>
            <w:r w:rsidRPr="00256760">
              <w:t xml:space="preserve">, </w:t>
            </w:r>
          </w:p>
          <w:p w14:paraId="23ADEC71" w14:textId="010D7A0B" w:rsidR="004F672F" w:rsidRPr="00987D1A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</w:pPr>
            <w:r w:rsidRPr="00256760">
              <w:t xml:space="preserve">genital area, </w:t>
            </w:r>
          </w:p>
          <w:p w14:paraId="62546E1C" w14:textId="7D0FB06A" w:rsidR="004F672F" w:rsidRPr="00987D1A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</w:pPr>
            <w:r w:rsidRPr="00987D1A">
              <w:t>conjunctiva,</w:t>
            </w:r>
          </w:p>
          <w:p w14:paraId="5C1117D0" w14:textId="5DEFCA18" w:rsidR="004F672F" w:rsidRPr="00987D1A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</w:pPr>
            <w:r w:rsidRPr="00987D1A">
              <w:t>palms of the hands</w:t>
            </w:r>
            <w:r>
              <w:t>,</w:t>
            </w:r>
            <w:r w:rsidRPr="00987D1A">
              <w:t xml:space="preserve"> and</w:t>
            </w:r>
          </w:p>
          <w:p w14:paraId="16CB7921" w14:textId="5328DC33" w:rsidR="004F672F" w:rsidRPr="004F672F" w:rsidDel="00D25C6C" w:rsidRDefault="004F672F" w:rsidP="004F672F">
            <w:pPr>
              <w:pStyle w:val="ListParagraph"/>
              <w:numPr>
                <w:ilvl w:val="0"/>
                <w:numId w:val="13"/>
              </w:numPr>
              <w:spacing w:before="120" w:after="120" w:line="23" w:lineRule="atLeast"/>
              <w:ind w:left="320"/>
              <w:rPr>
                <w:vertAlign w:val="superscript"/>
              </w:rPr>
            </w:pPr>
            <w:r w:rsidRPr="00987D1A">
              <w:t>soles of the feet</w:t>
            </w:r>
          </w:p>
        </w:tc>
        <w:tc>
          <w:tcPr>
            <w:tcW w:w="4083" w:type="dxa"/>
          </w:tcPr>
          <w:p w14:paraId="16F2B66A" w14:textId="43F45177" w:rsidR="004F672F" w:rsidRPr="00E847EA" w:rsidRDefault="004F672F" w:rsidP="004C348A">
            <w:pPr>
              <w:spacing w:before="120" w:after="120" w:line="23" w:lineRule="atLeast"/>
            </w:pPr>
            <w:r w:rsidRPr="00466652">
              <w:t>Usually appears on the chest, back, and face then spreads to other parts of the body</w:t>
            </w:r>
            <w:bookmarkStart w:id="5" w:name="_Ref107907372"/>
            <w:r w:rsidR="00E847EA">
              <w:rPr>
                <w:rStyle w:val="EndnoteReference"/>
              </w:rPr>
              <w:endnoteReference w:id="6"/>
            </w:r>
            <w:bookmarkEnd w:id="5"/>
          </w:p>
          <w:p w14:paraId="784CC8A9" w14:textId="6B2B618E" w:rsidR="004F672F" w:rsidRPr="00E847EA" w:rsidRDefault="004F672F" w:rsidP="004C348A">
            <w:pPr>
              <w:spacing w:before="120" w:after="120" w:line="23" w:lineRule="atLeast"/>
            </w:pPr>
            <w:r w:rsidRPr="00256760">
              <w:t>Rare</w:t>
            </w:r>
            <w:r>
              <w:t>ly, lesions</w:t>
            </w:r>
            <w:r w:rsidRPr="00256760">
              <w:t xml:space="preserve"> </w:t>
            </w:r>
            <w:r>
              <w:t>may appear on palms of the hands and soles of the feet in</w:t>
            </w:r>
            <w:r w:rsidRPr="00256760">
              <w:t xml:space="preserve"> immunocompromised</w:t>
            </w:r>
            <w:r>
              <w:t xml:space="preserve"> individuals</w:t>
            </w:r>
            <w:r w:rsidR="00E847EA">
              <w:rPr>
                <w:rStyle w:val="EndnoteReference"/>
              </w:rPr>
              <w:endnoteReference w:id="7"/>
            </w:r>
          </w:p>
        </w:tc>
        <w:tc>
          <w:tcPr>
            <w:tcW w:w="3288" w:type="dxa"/>
          </w:tcPr>
          <w:p w14:paraId="34BAF887" w14:textId="2B9A775F" w:rsidR="004F672F" w:rsidRPr="00256760" w:rsidRDefault="004F672F" w:rsidP="004C348A">
            <w:pPr>
              <w:spacing w:before="120" w:after="120" w:line="23" w:lineRule="atLeast"/>
            </w:pPr>
            <w:r w:rsidRPr="00256760">
              <w:t>Usually, vesicles appear in or on the mouth</w:t>
            </w:r>
            <w:r>
              <w:t>, then may appear on other parts of the body, including</w:t>
            </w:r>
            <w:r w:rsidR="008854E7" w:rsidRPr="00B50466">
              <w:rPr>
                <w:vertAlign w:val="superscript"/>
              </w:rPr>
              <w:fldChar w:fldCharType="begin"/>
            </w:r>
            <w:r w:rsidR="008854E7" w:rsidRPr="00B50466">
              <w:rPr>
                <w:vertAlign w:val="superscript"/>
              </w:rPr>
              <w:instrText xml:space="preserve"> NOTEREF _Ref107905526 \h </w:instrText>
            </w:r>
            <w:r w:rsidR="008854E7" w:rsidRPr="00B50466">
              <w:rPr>
                <w:vertAlign w:val="superscript"/>
              </w:rPr>
            </w:r>
            <w:r w:rsidR="008854E7" w:rsidRPr="00B50466">
              <w:rPr>
                <w:vertAlign w:val="superscript"/>
              </w:rPr>
              <w:instrText xml:space="preserve"> \* MERGEFORMAT </w:instrText>
            </w:r>
            <w:r w:rsidR="008854E7" w:rsidRPr="00B50466">
              <w:rPr>
                <w:vertAlign w:val="superscript"/>
              </w:rPr>
              <w:fldChar w:fldCharType="separate"/>
            </w:r>
            <w:r w:rsidR="008854E7" w:rsidRPr="00B50466">
              <w:rPr>
                <w:vertAlign w:val="superscript"/>
              </w:rPr>
              <w:t>3</w:t>
            </w:r>
            <w:r w:rsidR="008854E7" w:rsidRPr="00B50466">
              <w:rPr>
                <w:vertAlign w:val="superscript"/>
              </w:rPr>
              <w:fldChar w:fldCharType="end"/>
            </w:r>
          </w:p>
          <w:p w14:paraId="03DD13B6" w14:textId="2A098167" w:rsidR="004F672F" w:rsidRPr="00256760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r w:rsidRPr="00256760">
              <w:t>palms of the hands,</w:t>
            </w:r>
          </w:p>
          <w:p w14:paraId="5349D73A" w14:textId="04C58EF2" w:rsidR="004F672F" w:rsidRPr="00987D1A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r w:rsidRPr="00987D1A">
              <w:t>soles of the feet,</w:t>
            </w:r>
            <w:r w:rsidRPr="004670D1">
              <w:rPr>
                <w:vertAlign w:val="superscript"/>
              </w:rPr>
              <w:t xml:space="preserve"> </w:t>
            </w:r>
          </w:p>
          <w:p w14:paraId="52D2A90E" w14:textId="7447E267" w:rsidR="004F672F" w:rsidRPr="00987D1A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r w:rsidRPr="00987D1A">
              <w:t>knees,</w:t>
            </w:r>
          </w:p>
          <w:p w14:paraId="76AC67E2" w14:textId="1FD2C7CE" w:rsidR="004F672F" w:rsidRPr="00987D1A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r w:rsidRPr="00987D1A">
              <w:t>elbows,</w:t>
            </w:r>
          </w:p>
          <w:p w14:paraId="4F1A3539" w14:textId="270FAFAA" w:rsidR="004F672F" w:rsidRPr="00987D1A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</w:pPr>
            <w:r w:rsidRPr="00987D1A">
              <w:t>buttocks, or</w:t>
            </w:r>
          </w:p>
          <w:p w14:paraId="3B78A9BE" w14:textId="4D469003" w:rsidR="004F672F" w:rsidRPr="004670D1" w:rsidRDefault="004F672F" w:rsidP="004670D1">
            <w:pPr>
              <w:pStyle w:val="ListParagraph"/>
              <w:numPr>
                <w:ilvl w:val="0"/>
                <w:numId w:val="14"/>
              </w:numPr>
              <w:spacing w:before="120" w:after="120" w:line="23" w:lineRule="atLeast"/>
              <w:ind w:left="376"/>
              <w:rPr>
                <w:vertAlign w:val="superscript"/>
              </w:rPr>
            </w:pPr>
            <w:r w:rsidRPr="00784486">
              <w:t>genital area</w:t>
            </w:r>
          </w:p>
        </w:tc>
      </w:tr>
      <w:tr w:rsidR="004F672F" w:rsidRPr="00256760" w14:paraId="75E3E657" w14:textId="77777777" w:rsidTr="004670D1">
        <w:trPr>
          <w:cantSplit/>
        </w:trPr>
        <w:tc>
          <w:tcPr>
            <w:tcW w:w="2405" w:type="dxa"/>
          </w:tcPr>
          <w:p w14:paraId="78A20DAB" w14:textId="77777777" w:rsidR="004F672F" w:rsidRPr="00466652" w:rsidRDefault="004F672F" w:rsidP="004C348A">
            <w:pPr>
              <w:spacing w:before="120" w:after="120" w:line="23" w:lineRule="atLeast"/>
              <w:rPr>
                <w:b/>
              </w:rPr>
            </w:pPr>
            <w:r w:rsidRPr="00466652">
              <w:rPr>
                <w:b/>
              </w:rPr>
              <w:t>Rash progression</w:t>
            </w:r>
          </w:p>
        </w:tc>
        <w:tc>
          <w:tcPr>
            <w:tcW w:w="3373" w:type="dxa"/>
          </w:tcPr>
          <w:p w14:paraId="7BF362B0" w14:textId="7DE112DA" w:rsidR="004F672F" w:rsidRPr="007C0F82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256760">
              <w:t>Slowly progresses through</w:t>
            </w:r>
            <w:r w:rsidRPr="00466652">
              <w:t xml:space="preserve"> macules,</w:t>
            </w:r>
            <w:r w:rsidRPr="00593CD6">
              <w:t xml:space="preserve"> </w:t>
            </w:r>
            <w:r w:rsidRPr="00466652">
              <w:t>papules, vesicles, pustules, and</w:t>
            </w:r>
            <w:r w:rsidRPr="00593CD6">
              <w:t xml:space="preserve"> </w:t>
            </w:r>
            <w:r w:rsidRPr="00466652">
              <w:t>crusting/scab</w:t>
            </w:r>
            <w:r>
              <w:t>. May have central umbilication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_Ref107907003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4</w:t>
            </w:r>
            <w:r w:rsidR="008854E7" w:rsidRPr="008854E7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>,</w:t>
            </w:r>
            <w:bookmarkStart w:id="6" w:name="_Ref107907175"/>
            <w:r w:rsidR="008854E7">
              <w:rPr>
                <w:rStyle w:val="EndnoteReference"/>
              </w:rPr>
              <w:endnoteReference w:id="8"/>
            </w:r>
            <w:bookmarkEnd w:id="6"/>
          </w:p>
          <w:p w14:paraId="431DE6A9" w14:textId="0E27D1DD" w:rsidR="004F672F" w:rsidRPr="00466652" w:rsidRDefault="004F672F" w:rsidP="004C348A">
            <w:pPr>
              <w:spacing w:before="120" w:after="120" w:line="23" w:lineRule="atLeast"/>
            </w:pPr>
            <w:r w:rsidRPr="00466652">
              <w:t>Lesions may</w:t>
            </w:r>
            <w:r w:rsidRPr="00256760">
              <w:t xml:space="preserve"> develop simultaneously and evolve </w:t>
            </w:r>
            <w:proofErr w:type="spellStart"/>
            <w:r w:rsidRPr="00256760">
              <w:t>together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_Ref107906408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b</w:t>
            </w:r>
            <w:proofErr w:type="spellEnd"/>
            <w:r w:rsidR="008854E7" w:rsidRPr="008854E7">
              <w:rPr>
                <w:vertAlign w:val="superscript"/>
              </w:rPr>
              <w:fldChar w:fldCharType="end"/>
            </w:r>
            <w:r w:rsidRPr="00256760">
              <w:t xml:space="preserve"> on any given part of the body</w:t>
            </w:r>
            <w:r>
              <w:t xml:space="preserve"> (i.e., monomorphic)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_Ref107907175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8</w:t>
            </w:r>
            <w:r w:rsidR="008854E7" w:rsidRPr="008854E7">
              <w:rPr>
                <w:vertAlign w:val="superscript"/>
              </w:rPr>
              <w:fldChar w:fldCharType="end"/>
            </w:r>
          </w:p>
        </w:tc>
        <w:tc>
          <w:tcPr>
            <w:tcW w:w="4083" w:type="dxa"/>
          </w:tcPr>
          <w:p w14:paraId="6D26AA72" w14:textId="48BBE906" w:rsidR="004F672F" w:rsidRPr="00256760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237A7D">
              <w:rPr>
                <w:b/>
                <w:i/>
              </w:rPr>
              <w:t>Unvaccinated:</w:t>
            </w:r>
            <w:r w:rsidRPr="00466652">
              <w:t xml:space="preserve"> </w:t>
            </w:r>
            <w:r>
              <w:t xml:space="preserve">Pleomorphic rash; </w:t>
            </w:r>
            <w:r w:rsidRPr="00256760">
              <w:t xml:space="preserve">Rapidly progresses through </w:t>
            </w:r>
            <w:r w:rsidRPr="00466652">
              <w:t xml:space="preserve">macules, papules, vesicles, and </w:t>
            </w:r>
            <w:r w:rsidRPr="00256760">
              <w:t>crusting/scab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_Ref107905505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2</w:t>
            </w:r>
            <w:r w:rsidR="008854E7" w:rsidRPr="008854E7">
              <w:rPr>
                <w:vertAlign w:val="superscript"/>
              </w:rPr>
              <w:fldChar w:fldCharType="end"/>
            </w:r>
          </w:p>
          <w:p w14:paraId="7F65DB6F" w14:textId="22B8E764" w:rsidR="004F672F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B87202">
              <w:rPr>
                <w:b/>
                <w:i/>
              </w:rPr>
              <w:t>Breakthrough</w:t>
            </w:r>
            <w:r w:rsidRPr="00466652">
              <w:t>: Usually, maculo-papular lesions that do not progress to vesicles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_Ref107905505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2</w:t>
            </w:r>
            <w:r w:rsidR="008854E7" w:rsidRPr="008854E7">
              <w:rPr>
                <w:vertAlign w:val="superscript"/>
              </w:rPr>
              <w:fldChar w:fldCharType="end"/>
            </w:r>
          </w:p>
          <w:p w14:paraId="01A033A1" w14:textId="2F0C4116" w:rsidR="004F672F" w:rsidRPr="00466652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256760">
              <w:t>Lesions occur in “crops” with old and new lesions present at the same time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_Ref107905505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2</w:t>
            </w:r>
            <w:r w:rsidR="008854E7" w:rsidRPr="008854E7">
              <w:rPr>
                <w:vertAlign w:val="superscript"/>
              </w:rPr>
              <w:fldChar w:fldCharType="end"/>
            </w:r>
          </w:p>
        </w:tc>
        <w:tc>
          <w:tcPr>
            <w:tcW w:w="3288" w:type="dxa"/>
          </w:tcPr>
          <w:p w14:paraId="79E9562A" w14:textId="5025D3F0" w:rsidR="004F672F" w:rsidRPr="00256760" w:rsidRDefault="004F672F" w:rsidP="004C348A">
            <w:pPr>
              <w:spacing w:before="120" w:after="120" w:line="23" w:lineRule="atLeast"/>
            </w:pPr>
            <w:r w:rsidRPr="00256760">
              <w:t>Macules, sometimes with vesicles</w:t>
            </w:r>
            <w:bookmarkStart w:id="7" w:name="_Ref107907314"/>
            <w:r w:rsidR="008854E7">
              <w:rPr>
                <w:rStyle w:val="EndnoteReference"/>
              </w:rPr>
              <w:endnoteReference w:id="9"/>
            </w:r>
            <w:bookmarkEnd w:id="7"/>
          </w:p>
          <w:p w14:paraId="079B8FAF" w14:textId="25249D8C" w:rsidR="004F672F" w:rsidRPr="00256760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466652">
              <w:t>Vesicles may break open and progress to crusting/scab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_Ref107907314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9</w:t>
            </w:r>
            <w:r w:rsidR="008854E7" w:rsidRPr="008854E7">
              <w:rPr>
                <w:vertAlign w:val="superscript"/>
              </w:rPr>
              <w:fldChar w:fldCharType="end"/>
            </w:r>
          </w:p>
        </w:tc>
      </w:tr>
      <w:tr w:rsidR="004F672F" w:rsidRPr="00256760" w14:paraId="07F0353B" w14:textId="77777777" w:rsidTr="004670D1">
        <w:trPr>
          <w:cantSplit/>
        </w:trPr>
        <w:tc>
          <w:tcPr>
            <w:tcW w:w="2405" w:type="dxa"/>
          </w:tcPr>
          <w:p w14:paraId="43089988" w14:textId="77777777" w:rsidR="004F672F" w:rsidRPr="00466652" w:rsidRDefault="004F672F" w:rsidP="004C348A">
            <w:pPr>
              <w:spacing w:before="120" w:after="120" w:line="23" w:lineRule="atLeast"/>
              <w:rPr>
                <w:b/>
              </w:rPr>
            </w:pPr>
            <w:r w:rsidRPr="00466652">
              <w:rPr>
                <w:b/>
              </w:rPr>
              <w:t xml:space="preserve">Rash </w:t>
            </w:r>
            <w:r>
              <w:rPr>
                <w:b/>
              </w:rPr>
              <w:t>duration</w:t>
            </w:r>
            <w:r w:rsidRPr="00466652">
              <w:rPr>
                <w:b/>
              </w:rPr>
              <w:t xml:space="preserve"> </w:t>
            </w:r>
          </w:p>
        </w:tc>
        <w:tc>
          <w:tcPr>
            <w:tcW w:w="3373" w:type="dxa"/>
          </w:tcPr>
          <w:p w14:paraId="3BF6CF0C" w14:textId="5A608D17" w:rsidR="004F672F" w:rsidRPr="00AE1789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>
              <w:t>14-28 days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_Ref107905468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1</w:t>
            </w:r>
            <w:r w:rsidR="008854E7" w:rsidRPr="008854E7">
              <w:rPr>
                <w:vertAlign w:val="superscript"/>
              </w:rPr>
              <w:fldChar w:fldCharType="end"/>
            </w:r>
          </w:p>
        </w:tc>
        <w:tc>
          <w:tcPr>
            <w:tcW w:w="4083" w:type="dxa"/>
          </w:tcPr>
          <w:p w14:paraId="0671D4A2" w14:textId="236F4513" w:rsidR="004F672F" w:rsidRPr="00256760" w:rsidRDefault="004F672F" w:rsidP="008854E7">
            <w:pPr>
              <w:spacing w:before="120" w:after="240" w:line="23" w:lineRule="atLeast"/>
              <w:rPr>
                <w:vertAlign w:val="superscript"/>
              </w:rPr>
            </w:pPr>
            <w:r w:rsidRPr="00C7441F">
              <w:rPr>
                <w:b/>
                <w:i/>
              </w:rPr>
              <w:t>Unvaccinated</w:t>
            </w:r>
            <w:r w:rsidRPr="00466652">
              <w:t>: 4-7 days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_Ref107907372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6</w:t>
            </w:r>
            <w:r w:rsidR="008854E7" w:rsidRPr="008854E7">
              <w:rPr>
                <w:vertAlign w:val="superscript"/>
              </w:rPr>
              <w:fldChar w:fldCharType="end"/>
            </w:r>
          </w:p>
          <w:p w14:paraId="57F6F316" w14:textId="466FE061" w:rsidR="004F672F" w:rsidRPr="00466652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C7441F">
              <w:rPr>
                <w:b/>
                <w:i/>
              </w:rPr>
              <w:t>Breakthrough:</w:t>
            </w:r>
            <w:r w:rsidRPr="00466652">
              <w:t xml:space="preserve"> Shorter duration of illness compared to unvacci</w:t>
            </w:r>
            <w:r>
              <w:t>na</w:t>
            </w:r>
            <w:r w:rsidRPr="00466652">
              <w:t>ted</w:t>
            </w:r>
            <w:r w:rsidR="008854E7" w:rsidRPr="008854E7">
              <w:rPr>
                <w:vertAlign w:val="superscript"/>
              </w:rPr>
              <w:fldChar w:fldCharType="begin"/>
            </w:r>
            <w:r w:rsidR="008854E7" w:rsidRPr="008854E7">
              <w:rPr>
                <w:vertAlign w:val="superscript"/>
              </w:rPr>
              <w:instrText xml:space="preserve"> NOTEREF _Ref107907372 \h </w:instrText>
            </w:r>
            <w:r w:rsidR="008854E7" w:rsidRPr="008854E7">
              <w:rPr>
                <w:vertAlign w:val="superscript"/>
              </w:rPr>
            </w:r>
            <w:r w:rsidR="008854E7" w:rsidRPr="008854E7">
              <w:rPr>
                <w:vertAlign w:val="superscript"/>
              </w:rPr>
              <w:instrText xml:space="preserve"> \* MERGEFORMAT </w:instrText>
            </w:r>
            <w:r w:rsidR="008854E7" w:rsidRPr="008854E7">
              <w:rPr>
                <w:vertAlign w:val="superscript"/>
              </w:rPr>
              <w:fldChar w:fldCharType="separate"/>
            </w:r>
            <w:r w:rsidR="008854E7" w:rsidRPr="008854E7">
              <w:rPr>
                <w:vertAlign w:val="superscript"/>
              </w:rPr>
              <w:t>6</w:t>
            </w:r>
            <w:r w:rsidR="008854E7" w:rsidRPr="008854E7">
              <w:rPr>
                <w:vertAlign w:val="superscript"/>
              </w:rPr>
              <w:fldChar w:fldCharType="end"/>
            </w:r>
          </w:p>
        </w:tc>
        <w:tc>
          <w:tcPr>
            <w:tcW w:w="3288" w:type="dxa"/>
          </w:tcPr>
          <w:p w14:paraId="37D88196" w14:textId="2A6A0006" w:rsidR="004F672F" w:rsidRPr="00256760" w:rsidRDefault="004F672F" w:rsidP="004C348A">
            <w:pPr>
              <w:spacing w:before="120" w:after="120" w:line="23" w:lineRule="atLeast"/>
              <w:rPr>
                <w:vertAlign w:val="superscript"/>
              </w:rPr>
            </w:pPr>
            <w:r w:rsidRPr="00256760">
              <w:t>7-10 days</w:t>
            </w:r>
            <w:r w:rsidR="008854E7" w:rsidRPr="00B50466">
              <w:rPr>
                <w:vertAlign w:val="superscript"/>
              </w:rPr>
              <w:fldChar w:fldCharType="begin"/>
            </w:r>
            <w:r w:rsidR="008854E7" w:rsidRPr="00B50466">
              <w:rPr>
                <w:vertAlign w:val="superscript"/>
              </w:rPr>
              <w:instrText xml:space="preserve"> NOTEREF _Ref107905526 \h </w:instrText>
            </w:r>
            <w:r w:rsidR="008854E7" w:rsidRPr="00B50466">
              <w:rPr>
                <w:vertAlign w:val="superscript"/>
              </w:rPr>
            </w:r>
            <w:r w:rsidR="008854E7" w:rsidRPr="00B50466">
              <w:rPr>
                <w:vertAlign w:val="superscript"/>
              </w:rPr>
              <w:instrText xml:space="preserve"> \* MERGEFORMAT </w:instrText>
            </w:r>
            <w:r w:rsidR="008854E7" w:rsidRPr="00B50466">
              <w:rPr>
                <w:vertAlign w:val="superscript"/>
              </w:rPr>
              <w:fldChar w:fldCharType="separate"/>
            </w:r>
            <w:r w:rsidR="008854E7" w:rsidRPr="00B50466">
              <w:rPr>
                <w:vertAlign w:val="superscript"/>
              </w:rPr>
              <w:t>3</w:t>
            </w:r>
            <w:r w:rsidR="008854E7" w:rsidRPr="00B50466">
              <w:rPr>
                <w:vertAlign w:val="superscript"/>
              </w:rPr>
              <w:fldChar w:fldCharType="end"/>
            </w:r>
          </w:p>
        </w:tc>
      </w:tr>
      <w:tr w:rsidR="004F672F" w:rsidRPr="00D25C6C" w14:paraId="14D2FE6C" w14:textId="77777777" w:rsidTr="004670D1">
        <w:trPr>
          <w:cantSplit/>
        </w:trPr>
        <w:tc>
          <w:tcPr>
            <w:tcW w:w="2405" w:type="dxa"/>
          </w:tcPr>
          <w:p w14:paraId="2536D4D4" w14:textId="77777777" w:rsidR="004F672F" w:rsidRPr="00466652" w:rsidRDefault="004F672F" w:rsidP="004C348A">
            <w:pPr>
              <w:spacing w:before="120" w:after="120" w:line="23" w:lineRule="atLeast"/>
              <w:rPr>
                <w:b/>
              </w:rPr>
            </w:pPr>
            <w:r w:rsidRPr="00466652">
              <w:rPr>
                <w:b/>
              </w:rPr>
              <w:lastRenderedPageBreak/>
              <w:t>Testing information</w:t>
            </w:r>
          </w:p>
        </w:tc>
        <w:tc>
          <w:tcPr>
            <w:tcW w:w="3373" w:type="dxa"/>
          </w:tcPr>
          <w:p w14:paraId="438F8BED" w14:textId="77777777" w:rsidR="004F672F" w:rsidRPr="00A900CA" w:rsidRDefault="004F672F" w:rsidP="004C348A">
            <w:pPr>
              <w:spacing w:before="120" w:after="120" w:line="23" w:lineRule="atLeast"/>
              <w:rPr>
                <w:color w:val="0000FF"/>
              </w:rPr>
            </w:pPr>
            <w:hyperlink r:id="rId12" w:history="1">
              <w:r w:rsidRPr="00A900CA">
                <w:rPr>
                  <w:rStyle w:val="Hyperlink"/>
                </w:rPr>
                <w:t>Monkeypox Virus | Public Health Ontario</w:t>
              </w:r>
            </w:hyperlink>
          </w:p>
          <w:p w14:paraId="74F7E4CD" w14:textId="77777777" w:rsidR="004F672F" w:rsidRPr="00466652" w:rsidRDefault="004F672F" w:rsidP="004C348A">
            <w:pPr>
              <w:spacing w:before="120" w:after="120" w:line="23" w:lineRule="atLeast"/>
            </w:pPr>
            <w:r>
              <w:t>(</w:t>
            </w:r>
            <w:proofErr w:type="gramStart"/>
            <w:r>
              <w:t>in</w:t>
            </w:r>
            <w:proofErr w:type="gramEnd"/>
            <w:r>
              <w:t xml:space="preserve"> children also test for </w:t>
            </w:r>
            <w:hyperlink r:id="rId13" w:history="1">
              <w:r w:rsidRPr="00A900CA">
                <w:rPr>
                  <w:rStyle w:val="Hyperlink"/>
                </w:rPr>
                <w:t>Enterovirus | Public Health Ontario</w:t>
              </w:r>
            </w:hyperlink>
            <w:r>
              <w:t>)</w:t>
            </w:r>
          </w:p>
        </w:tc>
        <w:tc>
          <w:tcPr>
            <w:tcW w:w="4083" w:type="dxa"/>
          </w:tcPr>
          <w:p w14:paraId="65118747" w14:textId="77777777" w:rsidR="004F672F" w:rsidRPr="00A900CA" w:rsidRDefault="004F672F" w:rsidP="004C348A">
            <w:pPr>
              <w:spacing w:before="120" w:after="120" w:line="23" w:lineRule="atLeast"/>
              <w:rPr>
                <w:color w:val="0000FF"/>
              </w:rPr>
            </w:pPr>
            <w:hyperlink r:id="rId14" w:history="1">
              <w:r w:rsidRPr="00A900CA">
                <w:rPr>
                  <w:rStyle w:val="Hyperlink"/>
                </w:rPr>
                <w:t>Varicella – Serology | Public Health Ontario</w:t>
              </w:r>
            </w:hyperlink>
          </w:p>
          <w:p w14:paraId="6C7FA3E7" w14:textId="77777777" w:rsidR="004F672F" w:rsidRPr="00466652" w:rsidRDefault="004F672F" w:rsidP="004C348A">
            <w:pPr>
              <w:spacing w:before="120" w:after="120" w:line="23" w:lineRule="atLeast"/>
            </w:pPr>
            <w:hyperlink r:id="rId15" w:history="1">
              <w:r w:rsidRPr="00A900CA">
                <w:rPr>
                  <w:rStyle w:val="Hyperlink"/>
                </w:rPr>
                <w:t>Varicella Zoster Virus Detection | Public Health Ontario</w:t>
              </w:r>
            </w:hyperlink>
          </w:p>
        </w:tc>
        <w:tc>
          <w:tcPr>
            <w:tcW w:w="3288" w:type="dxa"/>
          </w:tcPr>
          <w:p w14:paraId="77BFD172" w14:textId="77777777" w:rsidR="004F672F" w:rsidRPr="00D25C6C" w:rsidRDefault="004F672F" w:rsidP="004C348A">
            <w:pPr>
              <w:spacing w:before="120" w:after="120" w:line="23" w:lineRule="atLeast"/>
            </w:pPr>
            <w:hyperlink r:id="rId16" w:history="1">
              <w:r w:rsidRPr="00A900CA">
                <w:rPr>
                  <w:rStyle w:val="Hyperlink"/>
                </w:rPr>
                <w:t>Enterovirus | Public Health Ontario</w:t>
              </w:r>
            </w:hyperlink>
          </w:p>
        </w:tc>
      </w:tr>
    </w:tbl>
    <w:p w14:paraId="01D4854B" w14:textId="5D038E39" w:rsidR="00B50466" w:rsidRDefault="00B50466" w:rsidP="00B50466">
      <w:pPr>
        <w:spacing w:before="120" w:after="120" w:line="23" w:lineRule="atLeast"/>
        <w:rPr>
          <w:rStyle w:val="Hyperlink"/>
        </w:rPr>
      </w:pPr>
      <w:r w:rsidRPr="00B50466">
        <w:rPr>
          <w:rStyle w:val="Hyperlink"/>
          <w:color w:val="auto"/>
          <w:u w:val="none"/>
        </w:rPr>
        <w:t xml:space="preserve">For more information, visit </w:t>
      </w:r>
      <w:hyperlink r:id="rId17" w:history="1">
        <w:r w:rsidRPr="00A900CA">
          <w:rPr>
            <w:rStyle w:val="Hyperlink"/>
          </w:rPr>
          <w:t>Monkeypox Virus (gov.on.ca)</w:t>
        </w:r>
      </w:hyperlink>
      <w:bookmarkStart w:id="8" w:name="_Ref107908087"/>
      <w:r w:rsidR="00E26F05" w:rsidRPr="00511DF7">
        <w:rPr>
          <w:rStyle w:val="EndnoteReference"/>
          <w:color w:val="FFFFFF"/>
        </w:rPr>
        <w:endnoteReference w:id="10"/>
      </w:r>
      <w:bookmarkEnd w:id="8"/>
    </w:p>
    <w:p w14:paraId="65075886" w14:textId="36893D69" w:rsidR="00B50466" w:rsidRPr="00B50466" w:rsidRDefault="00546BE9" w:rsidP="00E847EA">
      <w:pPr>
        <w:pStyle w:val="Heading2"/>
      </w:pPr>
      <w:proofErr w:type="spellStart"/>
      <w:r>
        <w:t>R</w:t>
      </w:r>
      <w:r w:rsidRPr="00546BE9">
        <w:t>eferences</w:t>
      </w:r>
      <w:proofErr w:type="spellEnd"/>
    </w:p>
    <w:sectPr w:rsidR="00B50466" w:rsidRPr="00B50466" w:rsidSect="004670D1">
      <w:headerReference w:type="default" r:id="rId18"/>
      <w:footerReference w:type="even" r:id="rId19"/>
      <w:footerReference w:type="default" r:id="rId20"/>
      <w:footnotePr>
        <w:numFmt w:val="lowerLetter"/>
      </w:footnotePr>
      <w:endnotePr>
        <w:numFmt w:val="decimal"/>
      </w:endnotePr>
      <w:pgSz w:w="15840" w:h="12240" w:orient="landscape"/>
      <w:pgMar w:top="851" w:right="1098" w:bottom="1440" w:left="1440" w:header="284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803A" w14:textId="4F700A86" w:rsidR="00DC6142" w:rsidRPr="00B50466" w:rsidRDefault="00DC6142" w:rsidP="00B50466">
      <w:pPr>
        <w:pStyle w:val="Footer"/>
      </w:pPr>
    </w:p>
  </w:endnote>
  <w:endnote w:type="continuationSeparator" w:id="0">
    <w:p w14:paraId="1391AE27" w14:textId="6BCE590A" w:rsidR="00DC6142" w:rsidRPr="00E847EA" w:rsidRDefault="00DC6142" w:rsidP="00E847EA">
      <w:pPr>
        <w:pStyle w:val="Footer"/>
      </w:pPr>
    </w:p>
  </w:endnote>
  <w:endnote w:id="1">
    <w:p w14:paraId="3D3BF39E" w14:textId="35992790" w:rsidR="00C43897" w:rsidRPr="008854E7" w:rsidRDefault="00C43897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 w:rsidR="008854E7"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>Ontario Agency for Health Protection and Promotion (Public health Ontario). Multi-jurisdictional monkeypox outbreak 2022 – what we know so far [Internet]. Toronto, ON: Queen’s Printer for Ontario; 2022. [updated May 23, 2022; cited June 16, 2022]. Available from:</w:t>
      </w:r>
      <w:r w:rsidRPr="008854E7">
        <w:rPr>
          <w:sz w:val="24"/>
          <w:szCs w:val="24"/>
        </w:rPr>
        <w:t xml:space="preserve"> </w:t>
      </w:r>
      <w:hyperlink r:id="rId1" w:history="1">
        <w:r w:rsidRPr="00C65EB2">
          <w:rPr>
            <w:rStyle w:val="Hyperlink"/>
            <w:sz w:val="24"/>
            <w:szCs w:val="24"/>
          </w:rPr>
          <w:t>https://www.publichealthontario.ca/-/media/Documents/M/2022/wwksf-multi-jurisdictional-monkeypox-outbreak-2022.pdf?sc_lang=en</w:t>
        </w:r>
      </w:hyperlink>
    </w:p>
  </w:endnote>
  <w:endnote w:id="2">
    <w:p w14:paraId="3B9CBAE9" w14:textId="438F97C6" w:rsidR="00B50466" w:rsidRPr="008854E7" w:rsidRDefault="00B50466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 w:rsidR="008854E7"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 xml:space="preserve">Ministry of Health. OPHS - Infectious Disease Protocol; Appendix 1: Case definitions and disease-specific information disease: Varicella (Chickenpox) [Internet]. Toronto, ON: Queen's Printer for Ontario; 2022 [updated April 2022; cited June 6, 2022]. Available from: </w:t>
      </w:r>
      <w:hyperlink r:id="rId2" w:history="1">
        <w:r w:rsidRPr="00C65EB2">
          <w:rPr>
            <w:rStyle w:val="Hyperlink"/>
            <w:sz w:val="24"/>
            <w:szCs w:val="24"/>
          </w:rPr>
          <w:t>https://www.health.gov.on.ca/en/pro/programs/publichealth/oph_standards/docs/chickenpox_chapter.pdf</w:t>
        </w:r>
      </w:hyperlink>
    </w:p>
  </w:endnote>
  <w:endnote w:id="3">
    <w:p w14:paraId="4BA1BACF" w14:textId="32685245" w:rsidR="00B50466" w:rsidRPr="008854E7" w:rsidRDefault="00B50466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 w:rsidR="008854E7"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 xml:space="preserve">Government of Canada. Hand, foot, and mouth disease (Enterovirus 71, EV 71) [Internet]. Ottawa, ON: Her Majesty the Queen in Right of Canada; 2019 [updated March 19, 2019; cited June 6, 2022]. Available from: </w:t>
      </w:r>
      <w:hyperlink r:id="rId3" w:history="1">
        <w:r w:rsidRPr="00C65EB2">
          <w:rPr>
            <w:rStyle w:val="Hyperlink"/>
            <w:sz w:val="24"/>
            <w:szCs w:val="24"/>
          </w:rPr>
          <w:t>https://www.canada.ca/en/public-health/services/diseases/hand-foot-mouth-disease.html</w:t>
        </w:r>
      </w:hyperlink>
    </w:p>
  </w:endnote>
  <w:endnote w:id="4">
    <w:p w14:paraId="2382FD00" w14:textId="566C2C49" w:rsidR="00CB6D36" w:rsidRPr="008854E7" w:rsidRDefault="00CB6D36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 w:rsidR="008854E7"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>Centers for Disease Control and Prevention. Morbidity and mortality weekly report (MMWR): Monkeypox outbreak – Nine states, May 2022 [Internet]. 2022 [updated June 3</w:t>
      </w:r>
      <w:proofErr w:type="gramStart"/>
      <w:r w:rsidRPr="008854E7">
        <w:rPr>
          <w:sz w:val="24"/>
          <w:szCs w:val="24"/>
        </w:rPr>
        <w:t xml:space="preserve"> 2022</w:t>
      </w:r>
      <w:proofErr w:type="gramEnd"/>
      <w:r w:rsidRPr="008854E7">
        <w:rPr>
          <w:sz w:val="24"/>
          <w:szCs w:val="24"/>
        </w:rPr>
        <w:t xml:space="preserve">; cited June 16, 2022]. Available from: </w:t>
      </w:r>
      <w:hyperlink r:id="rId4" w:history="1">
        <w:r w:rsidRPr="00C65EB2">
          <w:rPr>
            <w:rStyle w:val="Hyperlink"/>
            <w:sz w:val="24"/>
            <w:szCs w:val="24"/>
          </w:rPr>
          <w:t>https://www.cdc.gov/mmwr/volumes/71/wr/mm7123e1.htm#:~:text=CDC%20urges%20health%20care%20providers,specific%20risk%20factors%20for%20monkeypox</w:t>
        </w:r>
      </w:hyperlink>
    </w:p>
  </w:endnote>
  <w:endnote w:id="5">
    <w:p w14:paraId="10EF3857" w14:textId="45C71F92" w:rsidR="00E847EA" w:rsidRPr="008854E7" w:rsidRDefault="00E847EA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 w:rsidR="008854E7"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 xml:space="preserve">MyHealth.Alberta.ca. Hand-foot-and-mouth disease [Internet]. Edmonton, AB: Alberta Government and Alberta Health Services; 2021 [updated July 1, 2021; cited June 6, 2022]. Available from: </w:t>
      </w:r>
      <w:hyperlink r:id="rId5" w:history="1">
        <w:r w:rsidRPr="00C65EB2">
          <w:rPr>
            <w:rStyle w:val="Hyperlink"/>
            <w:sz w:val="24"/>
            <w:szCs w:val="24"/>
          </w:rPr>
          <w:t>https://myhealth.alberta.ca/Health/Pages/conditions.aspx?hwid=ty6230</w:t>
        </w:r>
      </w:hyperlink>
    </w:p>
  </w:endnote>
  <w:endnote w:id="6">
    <w:p w14:paraId="0EE609B7" w14:textId="671EA24D" w:rsidR="00E847EA" w:rsidRPr="008854E7" w:rsidRDefault="00E847EA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 w:rsidR="008854E7"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 xml:space="preserve">Centers for Disease Control and Prevention. Varicella (chickenpox): fact sheet [Internet]. Atlanta, GA: Centers for Disease Control and Prevention; 2021 [updated August 2, 2021; cited June 6, 2022]. Available from: </w:t>
      </w:r>
      <w:hyperlink r:id="rId6" w:history="1">
        <w:r w:rsidRPr="00C65EB2">
          <w:rPr>
            <w:rStyle w:val="Hyperlink"/>
            <w:sz w:val="24"/>
            <w:szCs w:val="24"/>
          </w:rPr>
          <w:t>https://www.cdc.gov/chickenpox/downloads/Varicella-diagnosis-fact-sheet-508.pdf</w:t>
        </w:r>
      </w:hyperlink>
    </w:p>
  </w:endnote>
  <w:endnote w:id="7">
    <w:p w14:paraId="7A4A787F" w14:textId="45107954" w:rsidR="00E847EA" w:rsidRPr="008854E7" w:rsidRDefault="00E847EA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 w:rsidR="008854E7"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 xml:space="preserve">Centers for Disease Control and Prevention. Chickenpox (varicella): for healthcare providers [Internet]. Atlanta, GA: Centers for Disease Control and Prevention; 2021 [updated April 28, 2021; cited June 6, 2022]. Available from: </w:t>
      </w:r>
      <w:hyperlink r:id="rId7" w:history="1">
        <w:r w:rsidRPr="00C65EB2">
          <w:rPr>
            <w:rStyle w:val="Hyperlink"/>
            <w:sz w:val="24"/>
            <w:szCs w:val="24"/>
          </w:rPr>
          <w:t xml:space="preserve">https://www.cdc.gov/chickenpox/hcp/index.html  </w:t>
        </w:r>
      </w:hyperlink>
    </w:p>
  </w:endnote>
  <w:endnote w:id="8">
    <w:p w14:paraId="3E9D3194" w14:textId="773DF067" w:rsidR="008854E7" w:rsidRPr="008854E7" w:rsidRDefault="008854E7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 xml:space="preserve">Centers for Disease Control and Prevention. Monkeypox: clinical recognition [Internet]. Atlanta, GA: Centers for Disease Control and Prevention; 2022 [updated May 23, 2022; cited June 6, 2022]. Available from: </w:t>
      </w:r>
      <w:hyperlink r:id="rId8" w:history="1">
        <w:r w:rsidRPr="00C65EB2">
          <w:rPr>
            <w:rStyle w:val="Hyperlink"/>
            <w:sz w:val="24"/>
            <w:szCs w:val="24"/>
          </w:rPr>
          <w:t>https://www.cdc.gov/poxvirus/monkeypox/clinicians/clinical-recognition.html</w:t>
        </w:r>
      </w:hyperlink>
    </w:p>
  </w:endnote>
  <w:endnote w:id="9">
    <w:p w14:paraId="56406DAF" w14:textId="72643C06" w:rsidR="008854E7" w:rsidRPr="008854E7" w:rsidRDefault="008854E7" w:rsidP="00C65EB2">
      <w:pPr>
        <w:pStyle w:val="EndnoteText"/>
        <w:spacing w:before="120" w:after="240" w:line="276" w:lineRule="auto"/>
        <w:rPr>
          <w:sz w:val="24"/>
          <w:szCs w:val="24"/>
          <w:lang w:val="en-US"/>
        </w:rPr>
      </w:pPr>
      <w:r w:rsidRPr="008854E7">
        <w:rPr>
          <w:rStyle w:val="EndnoteReference"/>
          <w:sz w:val="24"/>
          <w:szCs w:val="24"/>
          <w:vertAlign w:val="baseline"/>
        </w:rPr>
        <w:endnoteRef/>
      </w:r>
      <w:r>
        <w:rPr>
          <w:sz w:val="24"/>
          <w:szCs w:val="24"/>
        </w:rPr>
        <w:t>.</w:t>
      </w:r>
      <w:r w:rsidRPr="008854E7">
        <w:rPr>
          <w:sz w:val="24"/>
          <w:szCs w:val="24"/>
        </w:rPr>
        <w:t xml:space="preserve"> </w:t>
      </w:r>
      <w:r w:rsidRPr="008854E7">
        <w:rPr>
          <w:sz w:val="24"/>
          <w:szCs w:val="24"/>
        </w:rPr>
        <w:t xml:space="preserve">Centers for Disease Control and Prevention. Hand, foot, and mouth disease (HFMD): symptoms and diagnosis of hand, foot, and mouth disease [Internet]. Atlanta, GA: Centers for Disease Control and Prevention; 2021 [updated February 2, 2021; cited June 6, 2022]. Available from: </w:t>
      </w:r>
      <w:hyperlink r:id="rId9" w:history="1">
        <w:r w:rsidRPr="00C65EB2">
          <w:rPr>
            <w:rStyle w:val="Hyperlink"/>
            <w:sz w:val="24"/>
            <w:szCs w:val="24"/>
          </w:rPr>
          <w:t>https://www.cdc.gov/hand-foot-mouth/about/signs-symptoms.html</w:t>
        </w:r>
      </w:hyperlink>
    </w:p>
  </w:endnote>
  <w:endnote w:id="10">
    <w:p w14:paraId="6C7414EB" w14:textId="20C33737" w:rsidR="00E26F05" w:rsidRPr="00E26F05" w:rsidRDefault="00E26F05" w:rsidP="002862CD">
      <w:pPr>
        <w:pStyle w:val="EndnoteText"/>
        <w:rPr>
          <w:lang w:val="en-US"/>
        </w:rPr>
      </w:pPr>
      <w:r w:rsidRPr="002862CD">
        <w:rPr>
          <w:rStyle w:val="EndnoteReference"/>
          <w:sz w:val="24"/>
          <w:szCs w:val="24"/>
          <w:vertAlign w:val="baseline"/>
        </w:rPr>
        <w:endnoteRef/>
      </w:r>
      <w:r w:rsidR="002862CD" w:rsidRPr="002862CD">
        <w:rPr>
          <w:sz w:val="24"/>
          <w:szCs w:val="24"/>
        </w:rPr>
        <w:t xml:space="preserve">. </w:t>
      </w:r>
      <w:r w:rsidR="002862CD" w:rsidRPr="002862CD">
        <w:rPr>
          <w:sz w:val="24"/>
          <w:szCs w:val="24"/>
        </w:rPr>
        <w:t xml:space="preserve">World Health Organization. Multi-country Monkeypox Outbreak in Non-Endemic Countries [Internet]. 2022 [updated May 21, 2022; cited June 16, 2022]. Available from: </w:t>
      </w:r>
      <w:hyperlink r:id="rId10" w:history="1">
        <w:r w:rsidR="002862CD" w:rsidRPr="002862CD">
          <w:rPr>
            <w:rStyle w:val="Hyperlink"/>
            <w:sz w:val="24"/>
            <w:szCs w:val="24"/>
          </w:rPr>
          <w:t>https://www.who.int/emergencies/disease-outbreak-news/item/2022-DON385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Raleway">
    <w:panose1 w:val="00000500000000000000"/>
    <w:charset w:val="00"/>
    <w:family w:val="modern"/>
    <w:notTrueType/>
    <w:pitch w:val="variable"/>
    <w:sig w:usb0="20000207" w:usb1="00000003" w:usb2="00000000" w:usb3="00000000" w:csb0="00000197" w:csb1="00000000"/>
  </w:font>
  <w:font w:name="Raleway SemiBold">
    <w:panose1 w:val="00000700000000000000"/>
    <w:charset w:val="00"/>
    <w:family w:val="modern"/>
    <w:notTrueType/>
    <w:pitch w:val="variable"/>
    <w:sig w:usb0="20000207" w:usb1="00000003" w:usb2="00000000" w:usb3="00000000" w:csb0="00000197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3252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897DA5" w14:textId="77777777" w:rsidR="009B4C3F" w:rsidRDefault="009B4C3F" w:rsidP="003031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38987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A5E028" w14:textId="77777777" w:rsidR="00D31525" w:rsidRDefault="00D31525" w:rsidP="009B4C3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9547BB" w14:textId="77777777" w:rsidR="00D31525" w:rsidRDefault="00D31525" w:rsidP="00D315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BE0D" w14:textId="3FADB022" w:rsidR="00D31525" w:rsidRPr="004F672F" w:rsidRDefault="004F672F" w:rsidP="004F672F">
    <w:pPr>
      <w:pStyle w:val="Footer"/>
      <w:pBdr>
        <w:top w:val="single" w:sz="4" w:space="1" w:color="09A3FF" w:themeColor="background1" w:themeShade="D9"/>
      </w:pBdr>
      <w:jc w:val="right"/>
      <w:rPr>
        <w:b/>
        <w:bCs/>
      </w:rPr>
    </w:pPr>
    <w:sdt>
      <w:sdtPr>
        <w:id w:val="973952427"/>
        <w:docPartObj>
          <w:docPartGallery w:val="Page Numbers (Bottom of Page)"/>
          <w:docPartUnique/>
        </w:docPartObj>
      </w:sdtPr>
      <w:sdtEndPr>
        <w:rPr>
          <w:color w:val="00619A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00619A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33FF" w14:textId="77777777" w:rsidR="00DC6142" w:rsidRDefault="00DC6142" w:rsidP="00D31525">
      <w:pPr>
        <w:spacing w:before="0" w:line="240" w:lineRule="auto"/>
      </w:pPr>
      <w:r>
        <w:separator/>
      </w:r>
    </w:p>
  </w:footnote>
  <w:footnote w:type="continuationSeparator" w:id="0">
    <w:p w14:paraId="183AB6DD" w14:textId="77777777" w:rsidR="00DC6142" w:rsidRDefault="00DC6142" w:rsidP="00D31525">
      <w:pPr>
        <w:spacing w:before="0" w:line="240" w:lineRule="auto"/>
      </w:pPr>
      <w:r>
        <w:continuationSeparator/>
      </w:r>
    </w:p>
  </w:footnote>
  <w:footnote w:id="1">
    <w:p w14:paraId="78D60145" w14:textId="3EF28B32" w:rsidR="00CB6D36" w:rsidRPr="00CB6D36" w:rsidRDefault="00CB6D3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B6D36">
        <w:t>Breakthrough varicella is an infection that occurs in a varicella vaccinated person more than 42 days after varicella vaccination.</w:t>
      </w:r>
    </w:p>
  </w:footnote>
  <w:footnote w:id="2">
    <w:p w14:paraId="399A5C3D" w14:textId="2E1BF755" w:rsidR="00B50466" w:rsidRPr="00B50466" w:rsidRDefault="00B504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CB6D36" w:rsidRPr="00CB6D36">
        <w:t>Atypical presentations of monkeypox include initial signs of a genital or peri-anal rash prior to or without prodromal symptoms which may not spread to other parts of the body, and having lesions at different stages of development.</w:t>
      </w:r>
      <w:r w:rsidR="00546BE9" w:rsidRPr="00511DF7">
        <w:rPr>
          <w:vertAlign w:val="superscript"/>
        </w:rPr>
        <w:fldChar w:fldCharType="begin"/>
      </w:r>
      <w:r w:rsidR="00546BE9" w:rsidRPr="00511DF7">
        <w:rPr>
          <w:vertAlign w:val="superscript"/>
        </w:rPr>
        <w:instrText xml:space="preserve"> NOTEREF _Ref107907003 \h </w:instrText>
      </w:r>
      <w:r w:rsidR="00546BE9" w:rsidRPr="00511DF7">
        <w:rPr>
          <w:vertAlign w:val="superscript"/>
        </w:rPr>
      </w:r>
      <w:r w:rsidR="00511DF7">
        <w:rPr>
          <w:vertAlign w:val="superscript"/>
        </w:rPr>
        <w:instrText xml:space="preserve"> \* MERGEFORMAT </w:instrText>
      </w:r>
      <w:r w:rsidR="00546BE9" w:rsidRPr="00511DF7">
        <w:rPr>
          <w:vertAlign w:val="superscript"/>
        </w:rPr>
        <w:fldChar w:fldCharType="separate"/>
      </w:r>
      <w:r w:rsidR="00546BE9" w:rsidRPr="00511DF7">
        <w:rPr>
          <w:vertAlign w:val="superscript"/>
        </w:rPr>
        <w:t>4</w:t>
      </w:r>
      <w:r w:rsidR="00546BE9" w:rsidRPr="00511DF7">
        <w:rPr>
          <w:vertAlign w:val="superscript"/>
        </w:rPr>
        <w:fldChar w:fldCharType="end"/>
      </w:r>
      <w:r w:rsidR="00CB6D36" w:rsidRPr="00CB6D36">
        <w:t>,</w:t>
      </w:r>
      <w:r w:rsidR="00511DF7" w:rsidRPr="00511DF7">
        <w:rPr>
          <w:vertAlign w:val="superscript"/>
        </w:rPr>
        <w:fldChar w:fldCharType="begin"/>
      </w:r>
      <w:r w:rsidR="00511DF7" w:rsidRPr="00511DF7">
        <w:rPr>
          <w:vertAlign w:val="superscript"/>
        </w:rPr>
        <w:instrText xml:space="preserve"> NOTEREF _Ref107908087 \h </w:instrText>
      </w:r>
      <w:r w:rsidR="00511DF7" w:rsidRPr="00511DF7">
        <w:rPr>
          <w:vertAlign w:val="superscript"/>
        </w:rPr>
      </w:r>
      <w:r w:rsidR="00511DF7">
        <w:rPr>
          <w:vertAlign w:val="superscript"/>
        </w:rPr>
        <w:instrText xml:space="preserve"> \* MERGEFORMAT </w:instrText>
      </w:r>
      <w:r w:rsidR="00511DF7" w:rsidRPr="00511DF7">
        <w:rPr>
          <w:vertAlign w:val="superscript"/>
        </w:rPr>
        <w:fldChar w:fldCharType="separate"/>
      </w:r>
      <w:r w:rsidR="00511DF7" w:rsidRPr="00511DF7">
        <w:rPr>
          <w:vertAlign w:val="superscript"/>
        </w:rPr>
        <w:t>10</w:t>
      </w:r>
      <w:r w:rsidR="00511DF7" w:rsidRPr="00511DF7">
        <w:rPr>
          <w:vertAlign w:val="superscript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F945" w14:textId="5D220E06" w:rsidR="00D31525" w:rsidRPr="004F672F" w:rsidRDefault="004F672F" w:rsidP="004F672F">
    <w:pPr>
      <w:pStyle w:val="Header"/>
      <w:ind w:right="-23"/>
      <w:jc w:val="right"/>
      <w:rPr>
        <w:sz w:val="20"/>
        <w:szCs w:val="20"/>
      </w:rPr>
    </w:pPr>
    <w:r w:rsidRPr="004F672F">
      <w:rPr>
        <w:sz w:val="20"/>
        <w:szCs w:val="20"/>
      </w:rPr>
      <w:t>Health Protection and Surveillance Policy and Programs Branch - Office of the Chief Medical Officer of Health, Public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025D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F8CD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822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C47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BC20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A8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4C9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A89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E0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E1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431C4F"/>
    <w:multiLevelType w:val="hybridMultilevel"/>
    <w:tmpl w:val="4FB6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56A50"/>
    <w:multiLevelType w:val="hybridMultilevel"/>
    <w:tmpl w:val="9118C7F8"/>
    <w:lvl w:ilvl="0" w:tplc="085C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31790"/>
    <w:multiLevelType w:val="hybridMultilevel"/>
    <w:tmpl w:val="A9A0D0CE"/>
    <w:lvl w:ilvl="0" w:tplc="085C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43345"/>
    <w:multiLevelType w:val="hybridMultilevel"/>
    <w:tmpl w:val="A7028310"/>
    <w:lvl w:ilvl="0" w:tplc="114AA75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B4"/>
    <w:rsid w:val="00003B1B"/>
    <w:rsid w:val="000114E5"/>
    <w:rsid w:val="0004483A"/>
    <w:rsid w:val="00045744"/>
    <w:rsid w:val="000B41FB"/>
    <w:rsid w:val="001325B8"/>
    <w:rsid w:val="00133EB1"/>
    <w:rsid w:val="001E3918"/>
    <w:rsid w:val="002862CD"/>
    <w:rsid w:val="00335EE4"/>
    <w:rsid w:val="0039151D"/>
    <w:rsid w:val="004670D1"/>
    <w:rsid w:val="00471689"/>
    <w:rsid w:val="004F672F"/>
    <w:rsid w:val="00503EE8"/>
    <w:rsid w:val="00511DF7"/>
    <w:rsid w:val="00546BE9"/>
    <w:rsid w:val="0059563D"/>
    <w:rsid w:val="00596FC5"/>
    <w:rsid w:val="006117EF"/>
    <w:rsid w:val="00651D81"/>
    <w:rsid w:val="00651FEC"/>
    <w:rsid w:val="006C4C91"/>
    <w:rsid w:val="007032EF"/>
    <w:rsid w:val="00724BD1"/>
    <w:rsid w:val="00736654"/>
    <w:rsid w:val="007D3020"/>
    <w:rsid w:val="00874135"/>
    <w:rsid w:val="008854E7"/>
    <w:rsid w:val="0089274D"/>
    <w:rsid w:val="008C3757"/>
    <w:rsid w:val="00924164"/>
    <w:rsid w:val="009A6AFF"/>
    <w:rsid w:val="009B4C3F"/>
    <w:rsid w:val="009D1AC4"/>
    <w:rsid w:val="009D298B"/>
    <w:rsid w:val="00A66B3B"/>
    <w:rsid w:val="00B412A3"/>
    <w:rsid w:val="00B50466"/>
    <w:rsid w:val="00BB7B7A"/>
    <w:rsid w:val="00BD4617"/>
    <w:rsid w:val="00C3175D"/>
    <w:rsid w:val="00C43897"/>
    <w:rsid w:val="00C65EB2"/>
    <w:rsid w:val="00C75003"/>
    <w:rsid w:val="00CB6D36"/>
    <w:rsid w:val="00CF5A33"/>
    <w:rsid w:val="00D31525"/>
    <w:rsid w:val="00D679B4"/>
    <w:rsid w:val="00DC6142"/>
    <w:rsid w:val="00DD5BB6"/>
    <w:rsid w:val="00DE51B6"/>
    <w:rsid w:val="00E040F1"/>
    <w:rsid w:val="00E26F05"/>
    <w:rsid w:val="00E847EA"/>
    <w:rsid w:val="00F109EF"/>
    <w:rsid w:val="00F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B6C62"/>
  <w15:chartTrackingRefBased/>
  <w15:docId w15:val="{CF378CA2-FAD3-47A3-B6FD-8AB2A3AB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E8"/>
    <w:pPr>
      <w:shd w:val="clear" w:color="auto" w:fill="FFFFFF"/>
      <w:spacing w:before="240" w:line="276" w:lineRule="auto"/>
    </w:pPr>
    <w:rPr>
      <w:rFonts w:ascii="Raleway" w:eastAsia="Times New Roman" w:hAnsi="Raleway" w:cs="Open Sans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4F672F"/>
    <w:pPr>
      <w:spacing w:before="120"/>
      <w:outlineLvl w:val="0"/>
    </w:pPr>
    <w:rPr>
      <w:b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7032EF"/>
    <w:pPr>
      <w:spacing w:before="240" w:beforeAutospacing="0" w:after="0" w:afterAutospacing="0"/>
      <w:jc w:val="both"/>
      <w:outlineLvl w:val="1"/>
    </w:pPr>
    <w:rPr>
      <w:rFonts w:ascii="Raleway" w:hAnsi="Raleway" w:cs="Open Sans"/>
      <w:b/>
      <w:color w:val="035B90" w:themeColor="accent6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525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A3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F5A33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F5A33"/>
    <w:rPr>
      <w:rFonts w:ascii="Raleway" w:hAnsi="Raleway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A33"/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F5A33"/>
    <w:rPr>
      <w:rFonts w:ascii="Raleway" w:hAnsi="Raleway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032EF"/>
    <w:rPr>
      <w:rFonts w:ascii="Raleway" w:eastAsia="Times New Roman" w:hAnsi="Raleway" w:cs="Open Sans"/>
      <w:b/>
      <w:color w:val="035B90" w:themeColor="accent6" w:themeShade="BF"/>
      <w:sz w:val="40"/>
      <w:szCs w:val="40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4F672F"/>
    <w:rPr>
      <w:rFonts w:ascii="Raleway" w:eastAsia="Times New Roman" w:hAnsi="Raleway" w:cs="Open Sans"/>
      <w:b/>
      <w:color w:val="000000"/>
      <w:sz w:val="48"/>
      <w:szCs w:val="48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D31525"/>
    <w:rPr>
      <w:rFonts w:ascii="Raleway" w:eastAsia="Times New Roman" w:hAnsi="Raleway" w:cs="Open Sans"/>
      <w:i/>
      <w:color w:val="000000"/>
      <w:shd w:val="clear" w:color="auto" w:fill="FFFFFF"/>
    </w:rPr>
  </w:style>
  <w:style w:type="character" w:styleId="Emphasis">
    <w:name w:val="Emphasis"/>
    <w:uiPriority w:val="20"/>
    <w:qFormat/>
    <w:rsid w:val="00D31525"/>
    <w:rPr>
      <w:rFonts w:ascii="Raleway SemiBold" w:hAnsi="Raleway SemiBold"/>
      <w:b/>
    </w:rPr>
  </w:style>
  <w:style w:type="character" w:styleId="SubtleEmphasis">
    <w:name w:val="Subtle Emphasis"/>
    <w:uiPriority w:val="19"/>
    <w:qFormat/>
    <w:rsid w:val="00D31525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D31525"/>
    <w:pPr>
      <w:spacing w:line="360" w:lineRule="auto"/>
      <w:ind w:left="567" w:right="851"/>
      <w:mirrorIndents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1525"/>
    <w:rPr>
      <w:rFonts w:ascii="Raleway" w:eastAsia="Times New Roman" w:hAnsi="Raleway" w:cs="Open Sans"/>
      <w:i/>
      <w:color w:val="00000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315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525"/>
    <w:rPr>
      <w:rFonts w:ascii="Raleway" w:eastAsia="Times New Roman" w:hAnsi="Raleway" w:cs="Open Sans"/>
      <w:color w:val="000000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D3152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525"/>
    <w:rPr>
      <w:rFonts w:ascii="Raleway" w:eastAsia="Times New Roman" w:hAnsi="Raleway" w:cs="Open Sans"/>
      <w:color w:val="000000"/>
      <w:shd w:val="clear" w:color="auto" w:fill="FFFFFF"/>
    </w:rPr>
  </w:style>
  <w:style w:type="character" w:styleId="PageNumber">
    <w:name w:val="page number"/>
    <w:basedOn w:val="DefaultParagraphFont"/>
    <w:uiPriority w:val="99"/>
    <w:semiHidden/>
    <w:unhideWhenUsed/>
    <w:rsid w:val="00D31525"/>
  </w:style>
  <w:style w:type="table" w:styleId="TableGrid">
    <w:name w:val="Table Grid"/>
    <w:basedOn w:val="TableNormal"/>
    <w:uiPriority w:val="59"/>
    <w:rsid w:val="0050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link w:val="TableHeaderRowChar"/>
    <w:qFormat/>
    <w:rsid w:val="009B4C3F"/>
    <w:pPr>
      <w:shd w:val="clear" w:color="auto" w:fill="auto"/>
      <w:spacing w:before="120" w:after="120"/>
    </w:pPr>
    <w:rPr>
      <w:b/>
    </w:rPr>
  </w:style>
  <w:style w:type="paragraph" w:customStyle="1" w:styleId="tablerows">
    <w:name w:val="table rows"/>
    <w:basedOn w:val="Normal"/>
    <w:qFormat/>
    <w:rsid w:val="009B4C3F"/>
    <w:pPr>
      <w:shd w:val="clear" w:color="auto" w:fill="auto"/>
      <w:spacing w:before="120" w:after="120"/>
    </w:pPr>
  </w:style>
  <w:style w:type="character" w:customStyle="1" w:styleId="TableHeaderRowChar">
    <w:name w:val="Table Header Row Char"/>
    <w:basedOn w:val="DefaultParagraphFont"/>
    <w:link w:val="TableHeaderRow"/>
    <w:rsid w:val="009B4C3F"/>
    <w:rPr>
      <w:rFonts w:ascii="Raleway" w:eastAsia="Times New Roman" w:hAnsi="Raleway" w:cs="Open Sans"/>
      <w:b/>
      <w:color w:val="000000"/>
    </w:rPr>
  </w:style>
  <w:style w:type="paragraph" w:styleId="ListParagraph">
    <w:name w:val="List Paragraph"/>
    <w:basedOn w:val="Normal"/>
    <w:uiPriority w:val="34"/>
    <w:rsid w:val="001E3918"/>
    <w:pPr>
      <w:ind w:left="720"/>
      <w:contextualSpacing/>
    </w:pPr>
  </w:style>
  <w:style w:type="paragraph" w:customStyle="1" w:styleId="Footnote">
    <w:name w:val="Footnote"/>
    <w:basedOn w:val="Normal"/>
    <w:link w:val="FootnoteChar"/>
    <w:qFormat/>
    <w:rsid w:val="00724BD1"/>
    <w:pPr>
      <w:spacing w:before="120" w:after="240"/>
    </w:pPr>
    <w:rPr>
      <w:i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24BD1"/>
    <w:pPr>
      <w:spacing w:before="0" w:after="200" w:line="240" w:lineRule="auto"/>
    </w:pPr>
    <w:rPr>
      <w:i/>
      <w:iCs/>
      <w:color w:val="C1B28F" w:themeColor="text2"/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724BD1"/>
    <w:rPr>
      <w:rFonts w:ascii="Raleway" w:eastAsia="Times New Roman" w:hAnsi="Raleway" w:cs="Open Sans"/>
      <w:i/>
      <w:color w:val="000000"/>
      <w:sz w:val="16"/>
      <w:szCs w:val="16"/>
      <w:shd w:val="clear" w:color="auto" w:fill="FFFFFF"/>
    </w:rPr>
  </w:style>
  <w:style w:type="paragraph" w:customStyle="1" w:styleId="PhotoCaptions">
    <w:name w:val="Photo Captions"/>
    <w:basedOn w:val="Normal"/>
    <w:qFormat/>
    <w:rsid w:val="00724BD1"/>
    <w:pPr>
      <w:spacing w:before="120"/>
    </w:pPr>
    <w:rPr>
      <w:i/>
    </w:rPr>
  </w:style>
  <w:style w:type="character" w:styleId="Hyperlink">
    <w:name w:val="Hyperlink"/>
    <w:basedOn w:val="DefaultParagraphFont"/>
    <w:uiPriority w:val="99"/>
    <w:unhideWhenUsed/>
    <w:rsid w:val="00C65E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6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B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B4"/>
    <w:rPr>
      <w:rFonts w:ascii="Segoe UI" w:eastAsia="Times New Roman" w:hAnsi="Segoe UI" w:cs="Segoe UI"/>
      <w:color w:val="000000"/>
      <w:sz w:val="18"/>
      <w:szCs w:val="18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72F"/>
    <w:pPr>
      <w:shd w:val="clear" w:color="auto" w:fill="auto"/>
      <w:spacing w:before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72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3897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3897"/>
    <w:rPr>
      <w:rFonts w:ascii="Raleway" w:eastAsia="Times New Roman" w:hAnsi="Raleway" w:cs="Open Sans"/>
      <w:color w:val="000000"/>
      <w:sz w:val="20"/>
      <w:szCs w:val="20"/>
      <w:shd w:val="clear" w:color="auto" w:fill="FFFFFF"/>
    </w:rPr>
  </w:style>
  <w:style w:type="character" w:styleId="EndnoteReference">
    <w:name w:val="endnote reference"/>
    <w:basedOn w:val="DefaultParagraphFont"/>
    <w:uiPriority w:val="99"/>
    <w:semiHidden/>
    <w:unhideWhenUsed/>
    <w:rsid w:val="00C4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ublichealthontario.ca/en/Laboratory-Services/Test-Information-Index/Enterovir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ublichealthontario.ca/en/Laboratory-Services/Test-Information-Index/Monkeypox-Virus" TargetMode="External"/><Relationship Id="rId17" Type="http://schemas.openxmlformats.org/officeDocument/2006/relationships/hyperlink" Target="https://www.health.gov.on.ca/en/pro/programs/emb/monkeypox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ublichealthontario.ca/en/Laboratory-Services/Test-Information-Index/Enterovir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ublichealthontario.ca/en/Laboratory-Services/Test-Information-Index/Varicella-Zoster-Virus-Detectio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ublichealthontario.ca/en/Laboratory-Services/Test-Information-Index/Varicella-Serology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poxvirus/monkeypox/clinicians/clinical-recognition.html" TargetMode="External"/><Relationship Id="rId3" Type="http://schemas.openxmlformats.org/officeDocument/2006/relationships/hyperlink" Target="https://www.canada.ca/en/public-health/services/diseases/hand-foot-mouth-disease.html" TargetMode="External"/><Relationship Id="rId7" Type="http://schemas.openxmlformats.org/officeDocument/2006/relationships/hyperlink" Target="https://www.cdc.gov/chickenpox/hcp/index.html%20%20" TargetMode="External"/><Relationship Id="rId2" Type="http://schemas.openxmlformats.org/officeDocument/2006/relationships/hyperlink" Target="https://www.health.gov.on.ca/en/pro/programs/publichealth/oph_standards/docs/chickenpox_chapter.pdf" TargetMode="External"/><Relationship Id="rId1" Type="http://schemas.openxmlformats.org/officeDocument/2006/relationships/hyperlink" Target="https://www.publichealthontario.ca/-/media/Documents/M/2022/wwksf-multi-jurisdictional-monkeypox-outbreak-2022.pdf?sc_lang=en" TargetMode="External"/><Relationship Id="rId6" Type="http://schemas.openxmlformats.org/officeDocument/2006/relationships/hyperlink" Target="https://www.cdc.gov/chickenpox/downloads/Varicella-diagnosis-fact-sheet-508.pdf" TargetMode="External"/><Relationship Id="rId5" Type="http://schemas.openxmlformats.org/officeDocument/2006/relationships/hyperlink" Target="https://myhealth.alberta.ca/Health/Pages/conditions.aspx?hwid=ty6230" TargetMode="External"/><Relationship Id="rId10" Type="http://schemas.openxmlformats.org/officeDocument/2006/relationships/hyperlink" Target="https://www.who.int/emergencies/disease-outbreak-news/item/2022-DON385" TargetMode="External"/><Relationship Id="rId4" Type="http://schemas.openxmlformats.org/officeDocument/2006/relationships/hyperlink" Target="https://www.cdc.gov/mmwr/volumes/71/wr/mm7123e1.htm%23:~:text=CDC%20urges%20health%20care%20providers,specific%20risk%20factors%20for%20monkeypox" TargetMode="External"/><Relationship Id="rId9" Type="http://schemas.openxmlformats.org/officeDocument/2006/relationships/hyperlink" Target="https://www.cdc.gov/hand-foot-mouth/about/signs-symptom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ner\Downloads\Factsheet_Template-1%20(1).dotx" TargetMode="External"/></Relationships>
</file>

<file path=word/theme/theme1.xml><?xml version="1.0" encoding="utf-8"?>
<a:theme xmlns:a="http://schemas.openxmlformats.org/drawingml/2006/main" name="OntarioVI-report">
  <a:themeElements>
    <a:clrScheme name="Custom 4">
      <a:dk1>
        <a:srgbClr val="8DC63F"/>
      </a:dk1>
      <a:lt1>
        <a:srgbClr val="38B5FF"/>
      </a:lt1>
      <a:dk2>
        <a:srgbClr val="C1B28F"/>
      </a:dk2>
      <a:lt2>
        <a:srgbClr val="FCAF17"/>
      </a:lt2>
      <a:accent1>
        <a:srgbClr val="CBA52E"/>
      </a:accent1>
      <a:accent2>
        <a:srgbClr val="F15922"/>
      </a:accent2>
      <a:accent3>
        <a:srgbClr val="ED1C24"/>
      </a:accent3>
      <a:accent4>
        <a:srgbClr val="ED037C"/>
      </a:accent4>
      <a:accent5>
        <a:srgbClr val="92278F"/>
      </a:accent5>
      <a:accent6>
        <a:srgbClr val="047BC1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7C8A6783BDE48A0D096D986242705" ma:contentTypeVersion="11" ma:contentTypeDescription="Create a new document." ma:contentTypeScope="" ma:versionID="70a3f4b72e8ef302ba8c32692c0048c1">
  <xsd:schema xmlns:xsd="http://www.w3.org/2001/XMLSchema" xmlns:xs="http://www.w3.org/2001/XMLSchema" xmlns:p="http://schemas.microsoft.com/office/2006/metadata/properties" xmlns:ns3="8022163d-7682-4450-abe1-587ac0f6376b" xmlns:ns4="ef354a9c-7d37-4f03-a7ba-bf428376f60d" targetNamespace="http://schemas.microsoft.com/office/2006/metadata/properties" ma:root="true" ma:fieldsID="cfca9cb68597909d19542b34ddb2f81d" ns3:_="" ns4:_="">
    <xsd:import namespace="8022163d-7682-4450-abe1-587ac0f6376b"/>
    <xsd:import namespace="ef354a9c-7d37-4f03-a7ba-bf428376f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2163d-7682-4450-abe1-587ac0f63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54a9c-7d37-4f03-a7ba-bf428376f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F1F5BD-2FC0-42AF-9EB0-4D7B85F13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7AA2B-4CC1-447D-BEE0-5454D4D0F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2163d-7682-4450-abe1-587ac0f6376b"/>
    <ds:schemaRef ds:uri="ef354a9c-7d37-4f03-a7ba-bf428376f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33358-F73B-4CA6-93D2-65A95C37C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1B268-0396-4748-9C05-B73D2EF5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Factsheet_Template-1 (1).dotx</Template>
  <TotalTime>5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Anandakumar, Sasikala (TBS)</dc:creator>
  <cp:keywords/>
  <dc:description/>
  <cp:lastModifiedBy>Taylor, Rob (MOH)</cp:lastModifiedBy>
  <cp:revision>7</cp:revision>
  <dcterms:created xsi:type="dcterms:W3CDTF">2022-07-05T14:03:00Z</dcterms:created>
  <dcterms:modified xsi:type="dcterms:W3CDTF">2022-07-05T14:08:00Z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0x01010066B7C8A6783BDE48A0D096D986242705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2022-07-05T14:03:03Z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7f2b6d34-0977-4dad-a4f4-887e2945c427</vt:lpwstr>
  </property>
  <property fmtid="{D5CDD505-2E9C-101B-9397-08002B2CF9AE}" pid="9" name="MSIP_Label_034a106e-6316-442c-ad35-738afd673d2b_ContentBits">
    <vt:lpwstr>0</vt:lpwstr>
  </property>
</Properties>
</file>