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3955" w14:textId="166F9D0E" w:rsidR="000E5C90" w:rsidRPr="000E5C90" w:rsidRDefault="000E5C90" w:rsidP="000E5C90">
      <w:pPr>
        <w:pStyle w:val="NormalWeb"/>
        <w:snapToGrid w:val="0"/>
        <w:spacing w:before="0" w:beforeAutospacing="0" w:after="0" w:afterAutospacing="0"/>
        <w:jc w:val="center"/>
        <w:rPr>
          <w:b/>
          <w:bCs/>
          <w:u w:val="single"/>
        </w:rPr>
      </w:pPr>
      <w:r w:rsidRPr="000E5C90">
        <w:rPr>
          <w:b/>
          <w:bCs/>
          <w:u w:val="single"/>
        </w:rPr>
        <w:t xml:space="preserve">Health Care Provider Communication </w:t>
      </w:r>
      <w:r w:rsidRPr="000E5C90">
        <w:rPr>
          <w:b/>
          <w:bCs/>
          <w:u w:val="single"/>
        </w:rPr>
        <w:t xml:space="preserve">- </w:t>
      </w:r>
      <w:r w:rsidRPr="000E5C90">
        <w:rPr>
          <w:b/>
          <w:bCs/>
          <w:u w:val="single"/>
        </w:rPr>
        <w:t>Monkeypox</w:t>
      </w:r>
    </w:p>
    <w:p w14:paraId="0A34E5AA" w14:textId="794891FF" w:rsidR="000E5C90" w:rsidRDefault="000E5C90" w:rsidP="000E5C90">
      <w:pPr>
        <w:pStyle w:val="NormalWeb"/>
        <w:snapToGrid w:val="0"/>
        <w:spacing w:before="0" w:beforeAutospacing="0" w:after="0" w:afterAutospacing="0"/>
      </w:pPr>
    </w:p>
    <w:p w14:paraId="7015D647" w14:textId="77777777" w:rsidR="00F764D8" w:rsidRDefault="00F764D8" w:rsidP="000E5C90">
      <w:pPr>
        <w:pStyle w:val="NormalWeb"/>
        <w:snapToGrid w:val="0"/>
        <w:spacing w:before="0" w:beforeAutospacing="0" w:after="0" w:afterAutospacing="0"/>
      </w:pPr>
    </w:p>
    <w:p w14:paraId="0C467ED3" w14:textId="005FE108" w:rsidR="000E5C90" w:rsidRDefault="000E5C90" w:rsidP="000E5C90">
      <w:pPr>
        <w:snapToGrid w:val="0"/>
        <w:rPr>
          <w:b/>
          <w:bCs/>
        </w:rPr>
      </w:pPr>
      <w:r>
        <w:rPr>
          <w:b/>
          <w:bCs/>
        </w:rPr>
        <w:t>T</w:t>
      </w:r>
      <w:r w:rsidRPr="000E5C90">
        <w:rPr>
          <w:b/>
          <w:bCs/>
        </w:rPr>
        <w:t>his resource</w:t>
      </w:r>
      <w:r>
        <w:rPr>
          <w:b/>
          <w:bCs/>
        </w:rPr>
        <w:t xml:space="preserve"> contains the most up-to-date information on Monkeypox in Ontario. It is intended for use by clinicians in practice </w:t>
      </w:r>
      <w:proofErr w:type="gramStart"/>
      <w:r w:rsidR="00F764D8">
        <w:rPr>
          <w:b/>
          <w:bCs/>
        </w:rPr>
        <w:t>in order to</w:t>
      </w:r>
      <w:proofErr w:type="gramEnd"/>
      <w:r w:rsidR="00F764D8">
        <w:rPr>
          <w:b/>
          <w:bCs/>
        </w:rPr>
        <w:t xml:space="preserve"> provide best possible evidence-based care and information to patients with or about Monkeypox.</w:t>
      </w:r>
    </w:p>
    <w:p w14:paraId="3CB112F0" w14:textId="10CA4693" w:rsidR="000E5C90" w:rsidRDefault="000E5C90" w:rsidP="000E5C90">
      <w:pPr>
        <w:snapToGrid w:val="0"/>
        <w:rPr>
          <w:b/>
          <w:bCs/>
        </w:rPr>
      </w:pPr>
    </w:p>
    <w:p w14:paraId="3B0234B8" w14:textId="287A21DA" w:rsidR="00F764D8" w:rsidRPr="00681957" w:rsidRDefault="00F764D8" w:rsidP="00681957">
      <w:pPr>
        <w:pStyle w:val="ListParagraph"/>
        <w:numPr>
          <w:ilvl w:val="0"/>
          <w:numId w:val="2"/>
        </w:numPr>
        <w:snapToGrid w:val="0"/>
        <w:rPr>
          <w:rFonts w:ascii="Times New Roman" w:eastAsia="Times New Roman" w:hAnsi="Times New Roman" w:cs="Times New Roman"/>
          <w:b/>
          <w:bCs/>
        </w:rPr>
      </w:pPr>
      <w:r w:rsidRPr="00681957">
        <w:rPr>
          <w:rFonts w:ascii="Times New Roman" w:eastAsia="Times New Roman" w:hAnsi="Times New Roman" w:cs="Times New Roman"/>
          <w:b/>
          <w:bCs/>
        </w:rPr>
        <w:t>What is monkeypox?</w:t>
      </w:r>
    </w:p>
    <w:p w14:paraId="207C42CB" w14:textId="11045565" w:rsidR="000E5C90" w:rsidRDefault="000E5C90" w:rsidP="000E5C90">
      <w:pPr>
        <w:pStyle w:val="NormalWeb"/>
        <w:snapToGrid w:val="0"/>
        <w:spacing w:before="0" w:beforeAutospacing="0" w:after="0" w:afterAutospacing="0"/>
      </w:pPr>
    </w:p>
    <w:p w14:paraId="6E4CBA03" w14:textId="229D7391" w:rsidR="00F764D8" w:rsidRDefault="00F764D8" w:rsidP="000E5C90">
      <w:pPr>
        <w:pStyle w:val="NormalWeb"/>
        <w:snapToGrid w:val="0"/>
        <w:spacing w:before="0" w:beforeAutospacing="0" w:after="0" w:afterAutospacing="0"/>
      </w:pPr>
      <w:r>
        <w:t xml:space="preserve">Monkeypox is caused by an infection with the monkeypox virus, which belongs to the </w:t>
      </w:r>
      <w:proofErr w:type="spellStart"/>
      <w:r w:rsidRPr="00F764D8">
        <w:rPr>
          <w:i/>
          <w:iCs/>
        </w:rPr>
        <w:t>Orthopoxvirus</w:t>
      </w:r>
      <w:proofErr w:type="spellEnd"/>
      <w:r>
        <w:t xml:space="preserve"> genus. Other related viruses in this genus includes the variola virus, which causes smallpox, and the vaccinia virus, which is used in the smallpox</w:t>
      </w:r>
      <w:r w:rsidR="0013499B">
        <w:t>/monkeypox</w:t>
      </w:r>
      <w:r>
        <w:t xml:space="preserve"> vaccine. </w:t>
      </w:r>
    </w:p>
    <w:p w14:paraId="2DA29DB9" w14:textId="4CF7054E" w:rsidR="00213AF3" w:rsidRDefault="00213AF3" w:rsidP="00681957">
      <w:pPr>
        <w:pStyle w:val="NormalWeb"/>
        <w:numPr>
          <w:ilvl w:val="0"/>
          <w:numId w:val="2"/>
        </w:numPr>
        <w:rPr>
          <w:rStyle w:val="Strong"/>
        </w:rPr>
      </w:pPr>
      <w:r>
        <w:rPr>
          <w:rStyle w:val="Strong"/>
        </w:rPr>
        <w:t>How does monkeypox spread?</w:t>
      </w:r>
    </w:p>
    <w:p w14:paraId="09533E4A" w14:textId="77777777" w:rsidR="006B4024" w:rsidRDefault="00213AF3" w:rsidP="00213AF3">
      <w:pPr>
        <w:pStyle w:val="NormalWeb"/>
      </w:pPr>
      <w:r>
        <w:t xml:space="preserve">Monkeypox </w:t>
      </w:r>
      <w:r>
        <w:t xml:space="preserve">is </w:t>
      </w:r>
      <w:proofErr w:type="gramStart"/>
      <w:r>
        <w:t>most commonly</w:t>
      </w:r>
      <w:r>
        <w:t xml:space="preserve"> </w:t>
      </w:r>
      <w:r>
        <w:t>transmitted</w:t>
      </w:r>
      <w:proofErr w:type="gramEnd"/>
      <w:r>
        <w:t xml:space="preserve"> from person-to-person through</w:t>
      </w:r>
      <w:r w:rsidR="006B4024">
        <w:t>:</w:t>
      </w:r>
    </w:p>
    <w:p w14:paraId="5CA2AF1E" w14:textId="72187098" w:rsidR="006B4024" w:rsidRDefault="006B4024" w:rsidP="006B4024">
      <w:pPr>
        <w:pStyle w:val="NormalWeb"/>
        <w:numPr>
          <w:ilvl w:val="0"/>
          <w:numId w:val="1"/>
        </w:numPr>
      </w:pPr>
      <w:r>
        <w:t xml:space="preserve">Direct contact with infectious </w:t>
      </w:r>
      <w:r>
        <w:t>rash, bodily fluids, and/or scabs</w:t>
      </w:r>
      <w:r>
        <w:t xml:space="preserve"> </w:t>
      </w:r>
    </w:p>
    <w:p w14:paraId="5FF53603" w14:textId="31C18C84" w:rsidR="006B4024" w:rsidRDefault="006B4024" w:rsidP="006B4024">
      <w:pPr>
        <w:pStyle w:val="NormalWeb"/>
        <w:numPr>
          <w:ilvl w:val="0"/>
          <w:numId w:val="1"/>
        </w:numPr>
      </w:pPr>
      <w:r>
        <w:t>Contact with r</w:t>
      </w:r>
      <w:r w:rsidR="00213AF3">
        <w:t xml:space="preserve">espiratory secretions </w:t>
      </w:r>
      <w:r>
        <w:t>during prolonged, face to contact</w:t>
      </w:r>
    </w:p>
    <w:p w14:paraId="3F8FC0E8" w14:textId="69385FE5" w:rsidR="00213AF3" w:rsidRDefault="006B4024" w:rsidP="006B4024">
      <w:pPr>
        <w:pStyle w:val="NormalWeb"/>
        <w:numPr>
          <w:ilvl w:val="0"/>
          <w:numId w:val="1"/>
        </w:numPr>
      </w:pPr>
      <w:r>
        <w:t>Close, physical interactions including</w:t>
      </w:r>
      <w:r w:rsidR="00213AF3">
        <w:t xml:space="preserve"> </w:t>
      </w:r>
      <w:r>
        <w:t xml:space="preserve">hugging, kissing, </w:t>
      </w:r>
      <w:r>
        <w:t>and sexual activity</w:t>
      </w:r>
    </w:p>
    <w:p w14:paraId="6BECFBBF" w14:textId="7D7A4C67" w:rsidR="006B4024" w:rsidRDefault="006B4024" w:rsidP="006B4024">
      <w:pPr>
        <w:pStyle w:val="NormalWeb"/>
        <w:numPr>
          <w:ilvl w:val="0"/>
          <w:numId w:val="1"/>
        </w:numPr>
      </w:pPr>
      <w:r>
        <w:t xml:space="preserve">Fomite transmission, such as contact with materials and objects </w:t>
      </w:r>
      <w:r>
        <w:t>(</w:t>
      </w:r>
      <w:proofErr w:type="gramStart"/>
      <w:r>
        <w:t>e.g.</w:t>
      </w:r>
      <w:proofErr w:type="gramEnd"/>
      <w:r>
        <w:t xml:space="preserve"> clothing, bedding, towels, eating utensils, and dishes</w:t>
      </w:r>
      <w:r>
        <w:t>) that have been contaminated by infectious rash or bodily fluids</w:t>
      </w:r>
    </w:p>
    <w:p w14:paraId="580CBB3F" w14:textId="00D3B1EC" w:rsidR="006B4024" w:rsidRDefault="00213AF3" w:rsidP="006B4024">
      <w:pPr>
        <w:pStyle w:val="NormalWeb"/>
      </w:pPr>
      <w:r>
        <w:t>Vertical transmission of monkeypox has also been documented (</w:t>
      </w:r>
      <w:hyperlink r:id="rId5" w:history="1">
        <w:r w:rsidRPr="00213AF3">
          <w:rPr>
            <w:rStyle w:val="Hyperlink"/>
          </w:rPr>
          <w:t>WHO</w:t>
        </w:r>
      </w:hyperlink>
      <w:r>
        <w:t xml:space="preserve">). </w:t>
      </w:r>
      <w:r w:rsidR="0013499B">
        <w:t>A</w:t>
      </w:r>
      <w:r w:rsidR="006B4024">
        <w:t>t this time, it is unknown if monkeypox can spread via semen or vaginal fluids (</w:t>
      </w:r>
      <w:hyperlink r:id="rId6" w:history="1">
        <w:r w:rsidR="006B4024" w:rsidRPr="006B4024">
          <w:rPr>
            <w:rStyle w:val="Hyperlink"/>
          </w:rPr>
          <w:t>CDC</w:t>
        </w:r>
      </w:hyperlink>
      <w:r w:rsidR="006B4024">
        <w:t>).</w:t>
      </w:r>
    </w:p>
    <w:p w14:paraId="2000B4CE" w14:textId="66E15404" w:rsidR="00681957" w:rsidRDefault="00681957" w:rsidP="00681957">
      <w:pPr>
        <w:pStyle w:val="NormalWeb"/>
        <w:numPr>
          <w:ilvl w:val="0"/>
          <w:numId w:val="2"/>
        </w:numPr>
        <w:snapToGrid w:val="0"/>
        <w:spacing w:before="0" w:beforeAutospacing="0" w:after="0" w:afterAutospacing="0"/>
        <w:rPr>
          <w:b/>
          <w:bCs/>
        </w:rPr>
      </w:pPr>
      <w:r>
        <w:rPr>
          <w:b/>
          <w:bCs/>
        </w:rPr>
        <w:t>What is the epidemiological situation of monkeypox in Ontario?</w:t>
      </w:r>
    </w:p>
    <w:p w14:paraId="65ECEB7F" w14:textId="77777777" w:rsidR="00681957" w:rsidRDefault="00681957" w:rsidP="00AA68FF">
      <w:pPr>
        <w:pStyle w:val="NormalWeb"/>
        <w:snapToGrid w:val="0"/>
        <w:spacing w:before="0" w:beforeAutospacing="0" w:after="0" w:afterAutospacing="0"/>
        <w:rPr>
          <w:b/>
          <w:bCs/>
        </w:rPr>
      </w:pPr>
    </w:p>
    <w:p w14:paraId="5B225E30" w14:textId="77777777" w:rsidR="00681957" w:rsidRDefault="00681957" w:rsidP="00681957">
      <w:pPr>
        <w:pStyle w:val="NormalWeb"/>
        <w:snapToGrid w:val="0"/>
        <w:spacing w:before="0" w:beforeAutospacing="0" w:after="0" w:afterAutospacing="0"/>
      </w:pPr>
      <w:r>
        <w:t>Since early May 2022, cases of monkeypox have been spreading globally</w:t>
      </w:r>
      <w:r>
        <w:t xml:space="preserve"> with over </w:t>
      </w:r>
      <w:r>
        <w:t xml:space="preserve">3,400 confirmed cases in 50 countries, most of which were previously non-endemic for the virus. </w:t>
      </w:r>
    </w:p>
    <w:p w14:paraId="7D8DDDFE" w14:textId="77777777" w:rsidR="00681957" w:rsidRDefault="00681957" w:rsidP="00681957">
      <w:pPr>
        <w:pStyle w:val="NormalWeb"/>
        <w:snapToGrid w:val="0"/>
        <w:spacing w:before="0" w:beforeAutospacing="0" w:after="0" w:afterAutospacing="0"/>
      </w:pPr>
    </w:p>
    <w:p w14:paraId="638F97F0" w14:textId="100CB0B1" w:rsidR="00681957" w:rsidRDefault="00681957" w:rsidP="00681957">
      <w:pPr>
        <w:pStyle w:val="NormalWeb"/>
        <w:snapToGrid w:val="0"/>
        <w:spacing w:before="0" w:beforeAutospacing="0" w:after="0" w:afterAutospacing="0"/>
      </w:pPr>
      <w:r>
        <w:t>In Ontario, as of July 4, 2022, a total of 1</w:t>
      </w:r>
      <w:r>
        <w:t>48</w:t>
      </w:r>
      <w:r>
        <w:t xml:space="preserve"> cases of monkeypox have been confirmed. </w:t>
      </w:r>
      <w:proofErr w:type="gramStart"/>
      <w:r>
        <w:t>The vast majority of</w:t>
      </w:r>
      <w:proofErr w:type="gramEnd"/>
      <w:r>
        <w:t xml:space="preserve"> these cases have occurred in men </w:t>
      </w:r>
      <w:r>
        <w:t>between the ages of 20 to 65 years (average 37.0)</w:t>
      </w:r>
      <w:r>
        <w:t xml:space="preserve"> who reside in the </w:t>
      </w:r>
      <w:r>
        <w:t>greater Toronto area (i.e., Toronto, Halton, Durham, and Peel)</w:t>
      </w:r>
      <w:r>
        <w:t xml:space="preserve">. </w:t>
      </w:r>
    </w:p>
    <w:p w14:paraId="51E32162" w14:textId="77777777" w:rsidR="00681957" w:rsidRDefault="00681957" w:rsidP="00681957">
      <w:pPr>
        <w:pStyle w:val="NormalWeb"/>
        <w:snapToGrid w:val="0"/>
        <w:spacing w:before="0" w:beforeAutospacing="0" w:after="0" w:afterAutospacing="0"/>
      </w:pPr>
    </w:p>
    <w:p w14:paraId="16C4CC8C" w14:textId="6CD2EA2C" w:rsidR="00681957" w:rsidRDefault="00681957" w:rsidP="00681957">
      <w:pPr>
        <w:pStyle w:val="NormalWeb"/>
        <w:snapToGrid w:val="0"/>
        <w:spacing w:before="0" w:beforeAutospacing="0" w:after="0" w:afterAutospacing="0"/>
      </w:pPr>
      <w:r>
        <w:t xml:space="preserve">The </w:t>
      </w:r>
      <w:proofErr w:type="gramStart"/>
      <w:r>
        <w:t>most commonly reported</w:t>
      </w:r>
      <w:proofErr w:type="gramEnd"/>
      <w:r>
        <w:t xml:space="preserve"> risk factors include engaging in sexual or intimate contact with new and/or multiple partners. Although cases have mostly been identified among males who report sexual or intimate contact with other males (MSM), anyone can get monkeypox. </w:t>
      </w:r>
    </w:p>
    <w:p w14:paraId="16E7E217" w14:textId="77777777" w:rsidR="00681957" w:rsidRDefault="00681957" w:rsidP="00681957">
      <w:pPr>
        <w:pStyle w:val="NormalWeb"/>
        <w:snapToGrid w:val="0"/>
        <w:spacing w:before="0" w:beforeAutospacing="0" w:after="0" w:afterAutospacing="0"/>
      </w:pPr>
    </w:p>
    <w:p w14:paraId="39A4E6F9" w14:textId="3E9A41D6" w:rsidR="00AA68FF" w:rsidRDefault="00681957" w:rsidP="00681957">
      <w:pPr>
        <w:pStyle w:val="NormalWeb"/>
        <w:numPr>
          <w:ilvl w:val="0"/>
          <w:numId w:val="2"/>
        </w:numPr>
        <w:snapToGrid w:val="0"/>
        <w:spacing w:before="0" w:beforeAutospacing="0" w:after="0" w:afterAutospacing="0"/>
        <w:rPr>
          <w:b/>
          <w:bCs/>
        </w:rPr>
      </w:pPr>
      <w:r>
        <w:rPr>
          <w:b/>
          <w:bCs/>
        </w:rPr>
        <w:t>What is the c</w:t>
      </w:r>
      <w:r w:rsidR="006B4024" w:rsidRPr="000E5C90">
        <w:rPr>
          <w:b/>
          <w:bCs/>
        </w:rPr>
        <w:t xml:space="preserve">linical </w:t>
      </w:r>
      <w:r>
        <w:rPr>
          <w:b/>
          <w:bCs/>
        </w:rPr>
        <w:t>presentation</w:t>
      </w:r>
      <w:r w:rsidR="006B4024" w:rsidRPr="000E5C90">
        <w:rPr>
          <w:b/>
          <w:bCs/>
        </w:rPr>
        <w:t xml:space="preserve"> </w:t>
      </w:r>
      <w:r>
        <w:rPr>
          <w:b/>
          <w:bCs/>
        </w:rPr>
        <w:t>for monkeypox?</w:t>
      </w:r>
    </w:p>
    <w:p w14:paraId="42AE1BCB" w14:textId="77777777" w:rsidR="00681957" w:rsidRDefault="00681957" w:rsidP="00AA68FF">
      <w:pPr>
        <w:pStyle w:val="NormalWeb"/>
        <w:snapToGrid w:val="0"/>
        <w:spacing w:before="0" w:beforeAutospacing="0" w:after="0" w:afterAutospacing="0"/>
      </w:pPr>
    </w:p>
    <w:p w14:paraId="6578FF89" w14:textId="77777777" w:rsidR="0013499B" w:rsidRDefault="0013499B" w:rsidP="0013499B">
      <w:pPr>
        <w:pStyle w:val="NormalWeb"/>
        <w:snapToGrid w:val="0"/>
        <w:spacing w:before="0" w:beforeAutospacing="0" w:after="0" w:afterAutospacing="0"/>
      </w:pPr>
      <w:r>
        <w:t>Monkeypox is usually a mild and self-limiting disease and most people who are infected recover within 2-4 weeks. However, severe illness can occur in some individuals.</w:t>
      </w:r>
    </w:p>
    <w:p w14:paraId="5A42DD86" w14:textId="77777777" w:rsidR="00AA68FF" w:rsidRDefault="00AA68FF" w:rsidP="00AA68FF">
      <w:pPr>
        <w:rPr>
          <w:rFonts w:hAnsi="Symbol"/>
        </w:rPr>
      </w:pPr>
    </w:p>
    <w:p w14:paraId="6D3F8B00" w14:textId="328F9327" w:rsidR="00D3397E" w:rsidRDefault="00AA68FF" w:rsidP="00D3397E">
      <w:r w:rsidRPr="00AA68FF">
        <w:lastRenderedPageBreak/>
        <w:t xml:space="preserve">Initial </w:t>
      </w:r>
      <w:r>
        <w:t xml:space="preserve">prodromal </w:t>
      </w:r>
      <w:r w:rsidRPr="00AA68FF">
        <w:t xml:space="preserve">symptoms of monkeypox may include fever, chills, </w:t>
      </w:r>
      <w:r w:rsidR="00D3397E">
        <w:t xml:space="preserve">fatigue/weakness, </w:t>
      </w:r>
      <w:r w:rsidRPr="00AA68FF">
        <w:t>headache</w:t>
      </w:r>
      <w:r w:rsidR="00D3397E">
        <w:t>s</w:t>
      </w:r>
      <w:r w:rsidRPr="00AA68FF">
        <w:t xml:space="preserve">, </w:t>
      </w:r>
      <w:r w:rsidR="00D3397E">
        <w:t>myalgia</w:t>
      </w:r>
      <w:r w:rsidRPr="00AA68FF">
        <w:t xml:space="preserve">, </w:t>
      </w:r>
      <w:r w:rsidR="00D3397E">
        <w:t>pharyngitis, coryza, cough, and lymphadenopathy</w:t>
      </w:r>
      <w:r w:rsidRPr="00AA68FF">
        <w:t xml:space="preserve"> </w:t>
      </w:r>
      <w:r>
        <w:t xml:space="preserve">that can last for 1-3 days prior to onset of a rash. </w:t>
      </w:r>
      <w:r w:rsidR="00D3397E">
        <w:t xml:space="preserve">The rash usually begins on the face and then spreads to elsewhere in the body. It can affect </w:t>
      </w:r>
      <w:r w:rsidR="00D3397E" w:rsidRPr="00D3397E">
        <w:t>the mucous membranes in the mouth, tongue, and genitalia</w:t>
      </w:r>
      <w:r w:rsidR="00D3397E">
        <w:t>, as well as</w:t>
      </w:r>
      <w:r w:rsidR="00D3397E" w:rsidRPr="00D3397E">
        <w:t xml:space="preserve"> the palms of hands and soles of the feet. The rash can last for 2−4 weeks and progresses through the following stages: macules, papules, vesicles, pustules, and scabs. </w:t>
      </w:r>
    </w:p>
    <w:p w14:paraId="78006ED0" w14:textId="77777777" w:rsidR="00D3397E" w:rsidRDefault="00D3397E" w:rsidP="00D3397E"/>
    <w:p w14:paraId="52A20A67" w14:textId="7302F132" w:rsidR="00AA68FF" w:rsidRPr="00AA68FF" w:rsidRDefault="00D3397E" w:rsidP="00AA68FF">
      <w:pPr>
        <w:rPr>
          <w:rFonts w:eastAsiaTheme="minorEastAsia"/>
        </w:rPr>
      </w:pPr>
      <w:r>
        <w:t xml:space="preserve">In some cases, </w:t>
      </w:r>
      <w:r w:rsidR="00681957">
        <w:t>the onset of symptoms started with</w:t>
      </w:r>
      <w:r w:rsidRPr="00D3397E">
        <w:t xml:space="preserve"> genital, perianal, or oral rash/lesion(s) </w:t>
      </w:r>
      <w:r>
        <w:t xml:space="preserve">prior to prodromal symptoms and without spreading to other parts of the body. </w:t>
      </w:r>
    </w:p>
    <w:p w14:paraId="1E3E8B10" w14:textId="77777777" w:rsidR="00213AF3" w:rsidRDefault="00213AF3" w:rsidP="000E5C90">
      <w:pPr>
        <w:pStyle w:val="NormalWeb"/>
        <w:snapToGrid w:val="0"/>
        <w:spacing w:before="0" w:beforeAutospacing="0" w:after="0" w:afterAutospacing="0"/>
      </w:pPr>
    </w:p>
    <w:p w14:paraId="6FC71A06" w14:textId="5CA5E021" w:rsidR="00681957" w:rsidRDefault="00681957" w:rsidP="00681957">
      <w:r>
        <w:t xml:space="preserve">Depending on the patient’s history, risk factors, and presentation, the differential diagnosis may include other acute illnesses associated with rashes including </w:t>
      </w:r>
      <w:r w:rsidRPr="00681957">
        <w:t>enteroviruses</w:t>
      </w:r>
      <w:r>
        <w:t>/</w:t>
      </w:r>
      <w:r w:rsidRPr="00681957">
        <w:t>coxsackieviruses (e.g., hand-foot-and-mouth disease), varicella zoster, herpes zoster,</w:t>
      </w:r>
      <w:r>
        <w:t xml:space="preserve"> </w:t>
      </w:r>
      <w:r w:rsidRPr="00681957">
        <w:t>measles, herpes simplex, syphilis, chancroid, lymphogranuloma venereum.</w:t>
      </w:r>
    </w:p>
    <w:p w14:paraId="62943CFC" w14:textId="6BF47812" w:rsidR="00681957" w:rsidRDefault="00681957" w:rsidP="00681957"/>
    <w:p w14:paraId="19EF94F0" w14:textId="7D1CDDCD" w:rsidR="00681957" w:rsidRDefault="00681957" w:rsidP="00681957">
      <w:pPr>
        <w:pStyle w:val="NormalWeb"/>
        <w:numPr>
          <w:ilvl w:val="0"/>
          <w:numId w:val="2"/>
        </w:numPr>
        <w:snapToGrid w:val="0"/>
        <w:spacing w:before="0" w:beforeAutospacing="0" w:after="0" w:afterAutospacing="0"/>
        <w:rPr>
          <w:b/>
          <w:bCs/>
        </w:rPr>
      </w:pPr>
      <w:r w:rsidRPr="00681957">
        <w:rPr>
          <w:b/>
          <w:bCs/>
        </w:rPr>
        <w:t>Who should be tested for monkeypox?</w:t>
      </w:r>
    </w:p>
    <w:p w14:paraId="6DB34792" w14:textId="77777777" w:rsidR="00681957" w:rsidRDefault="00681957" w:rsidP="00681957">
      <w:pPr>
        <w:pStyle w:val="NormalWeb"/>
        <w:snapToGrid w:val="0"/>
        <w:spacing w:before="0" w:beforeAutospacing="0" w:after="0" w:afterAutospacing="0"/>
      </w:pPr>
    </w:p>
    <w:p w14:paraId="5E892044" w14:textId="2C6D0706" w:rsidR="00681957" w:rsidRDefault="00681957" w:rsidP="00681957">
      <w:pPr>
        <w:pStyle w:val="NormalWeb"/>
        <w:snapToGrid w:val="0"/>
        <w:spacing w:before="0" w:beforeAutospacing="0" w:after="0" w:afterAutospacing="0"/>
      </w:pPr>
      <w:r>
        <w:t xml:space="preserve">Patients </w:t>
      </w:r>
      <w:r>
        <w:t xml:space="preserve">presenting </w:t>
      </w:r>
      <w:r>
        <w:t xml:space="preserve">with a compatible clinical illness where monkeypox is suspected should undergo laboratory testing (see </w:t>
      </w:r>
      <w:r w:rsidRPr="00681957">
        <w:rPr>
          <w:b/>
          <w:bCs/>
        </w:rPr>
        <w:t>Clinical presentation</w:t>
      </w:r>
      <w:r>
        <w:t xml:space="preserve">, above). </w:t>
      </w:r>
    </w:p>
    <w:p w14:paraId="4DA7AB5E" w14:textId="77777777" w:rsidR="00681957" w:rsidRDefault="00681957" w:rsidP="00681957">
      <w:pPr>
        <w:pStyle w:val="NormalWeb"/>
        <w:snapToGrid w:val="0"/>
        <w:spacing w:before="0" w:beforeAutospacing="0" w:after="0" w:afterAutospacing="0"/>
      </w:pPr>
    </w:p>
    <w:p w14:paraId="346606BF" w14:textId="10966A3F" w:rsidR="00681957" w:rsidRDefault="00681957" w:rsidP="00681957">
      <w:pPr>
        <w:pStyle w:val="NormalWeb"/>
        <w:snapToGrid w:val="0"/>
        <w:spacing w:before="0" w:beforeAutospacing="0" w:after="0" w:afterAutospacing="0"/>
      </w:pPr>
      <w:r>
        <w:t xml:space="preserve">Of note, </w:t>
      </w:r>
      <w:r>
        <w:t xml:space="preserve">PHO’s Laboratory is conducting enterovirus testing on all pediatric specimens requesting monkeypox, of which 80% are </w:t>
      </w:r>
      <w:proofErr w:type="gramStart"/>
      <w:r>
        <w:t>enterovirus-positive</w:t>
      </w:r>
      <w:proofErr w:type="gramEnd"/>
      <w:r>
        <w:t>. This suggests that children with rash consistent with enterovirus illness (</w:t>
      </w:r>
      <w:proofErr w:type="gramStart"/>
      <w:r>
        <w:t>e.g.</w:t>
      </w:r>
      <w:proofErr w:type="gramEnd"/>
      <w:r>
        <w:t xml:space="preserve"> hand, foot and mouth disease) and without epidemiological risk factors (e.g. contact with a confirmed case) do not require monkeypox testing. </w:t>
      </w:r>
    </w:p>
    <w:p w14:paraId="7576A04A" w14:textId="77777777" w:rsidR="00411C77" w:rsidRDefault="00411C77" w:rsidP="00681957">
      <w:pPr>
        <w:pStyle w:val="NormalWeb"/>
        <w:snapToGrid w:val="0"/>
        <w:spacing w:before="0" w:beforeAutospacing="0" w:after="0" w:afterAutospacing="0"/>
      </w:pPr>
    </w:p>
    <w:p w14:paraId="6B652C74" w14:textId="5DA725BE" w:rsidR="00411C77" w:rsidRPr="00411C77" w:rsidRDefault="00411C77" w:rsidP="00411C77">
      <w:pPr>
        <w:pStyle w:val="NormalWeb"/>
        <w:numPr>
          <w:ilvl w:val="0"/>
          <w:numId w:val="2"/>
        </w:numPr>
        <w:snapToGrid w:val="0"/>
        <w:spacing w:before="0" w:beforeAutospacing="0" w:after="0" w:afterAutospacing="0"/>
        <w:rPr>
          <w:b/>
          <w:bCs/>
        </w:rPr>
      </w:pPr>
      <w:r w:rsidRPr="00411C77">
        <w:rPr>
          <w:b/>
          <w:bCs/>
        </w:rPr>
        <w:t>Where should patients be tested for monkeypox?</w:t>
      </w:r>
      <w:r w:rsidR="00706E64">
        <w:rPr>
          <w:b/>
          <w:bCs/>
        </w:rPr>
        <w:t xml:space="preserve"> </w:t>
      </w:r>
    </w:p>
    <w:p w14:paraId="4FF72394" w14:textId="4D5A1E70" w:rsidR="00411C77" w:rsidRDefault="00411C77" w:rsidP="000E5C90">
      <w:pPr>
        <w:pStyle w:val="NormalWeb"/>
        <w:snapToGrid w:val="0"/>
        <w:spacing w:before="0" w:beforeAutospacing="0" w:after="0" w:afterAutospacing="0"/>
      </w:pPr>
    </w:p>
    <w:p w14:paraId="5C2B492B" w14:textId="77777777" w:rsidR="00174871" w:rsidRDefault="00411C77" w:rsidP="000E5C90">
      <w:pPr>
        <w:pStyle w:val="NormalWeb"/>
        <w:snapToGrid w:val="0"/>
        <w:spacing w:before="0" w:beforeAutospacing="0" w:after="0" w:afterAutospacing="0"/>
      </w:pPr>
      <w:r>
        <w:t xml:space="preserve">Patients can be tested in any health care setting (e.g., hospitals, primary care clinics, sexual health clinics) </w:t>
      </w:r>
      <w:r w:rsidR="00174871">
        <w:t>that:</w:t>
      </w:r>
    </w:p>
    <w:p w14:paraId="5FFB2BD8" w14:textId="77777777" w:rsidR="00174871" w:rsidRDefault="00174871" w:rsidP="009B5C29">
      <w:pPr>
        <w:pStyle w:val="NormalWeb"/>
        <w:numPr>
          <w:ilvl w:val="0"/>
          <w:numId w:val="6"/>
        </w:numPr>
        <w:snapToGrid w:val="0"/>
        <w:spacing w:before="0" w:beforeAutospacing="0" w:after="0" w:afterAutospacing="0"/>
      </w:pPr>
      <w:r>
        <w:t xml:space="preserve">Has </w:t>
      </w:r>
      <w:r>
        <w:t>appropriate personal protective equipment and infection control practices are in place</w:t>
      </w:r>
    </w:p>
    <w:p w14:paraId="5F7B248B" w14:textId="7C943AF8" w:rsidR="00174871" w:rsidRDefault="00174871" w:rsidP="009B5C29">
      <w:pPr>
        <w:pStyle w:val="NormalWeb"/>
        <w:numPr>
          <w:ilvl w:val="0"/>
          <w:numId w:val="6"/>
        </w:numPr>
        <w:snapToGrid w:val="0"/>
        <w:spacing w:before="0" w:beforeAutospacing="0" w:after="0" w:afterAutospacing="0"/>
      </w:pPr>
      <w:r>
        <w:t>C</w:t>
      </w:r>
      <w:r>
        <w:t>an appropriately package and transport</w:t>
      </w:r>
      <w:r>
        <w:t xml:space="preserve"> specimens</w:t>
      </w:r>
      <w:r>
        <w:t xml:space="preserve"> to the laboratory for testing.</w:t>
      </w:r>
    </w:p>
    <w:p w14:paraId="351C5B84" w14:textId="705FC85B" w:rsidR="00174871" w:rsidRDefault="00174871" w:rsidP="000E5C90">
      <w:pPr>
        <w:pStyle w:val="NormalWeb"/>
        <w:snapToGrid w:val="0"/>
        <w:spacing w:before="0" w:beforeAutospacing="0" w:after="0" w:afterAutospacing="0"/>
      </w:pPr>
    </w:p>
    <w:p w14:paraId="25963F33" w14:textId="196F72C1" w:rsidR="00174871" w:rsidRPr="00174871" w:rsidRDefault="00174871" w:rsidP="00174871">
      <w:pPr>
        <w:pStyle w:val="NormalWeb"/>
        <w:numPr>
          <w:ilvl w:val="0"/>
          <w:numId w:val="2"/>
        </w:numPr>
        <w:snapToGrid w:val="0"/>
        <w:spacing w:before="0" w:beforeAutospacing="0" w:after="0" w:afterAutospacing="0"/>
        <w:rPr>
          <w:b/>
          <w:bCs/>
        </w:rPr>
      </w:pPr>
      <w:r w:rsidRPr="00174871">
        <w:rPr>
          <w:b/>
          <w:bCs/>
        </w:rPr>
        <w:t>What infection prevention and control precautions are required to see patients with suspected, probable, or confirmed monkeypox infection?</w:t>
      </w:r>
    </w:p>
    <w:p w14:paraId="6A2042D2" w14:textId="77777777" w:rsidR="00174871" w:rsidRDefault="00174871" w:rsidP="000E5C90">
      <w:pPr>
        <w:pStyle w:val="NormalWeb"/>
        <w:snapToGrid w:val="0"/>
        <w:spacing w:before="0" w:beforeAutospacing="0" w:after="0" w:afterAutospacing="0"/>
      </w:pPr>
    </w:p>
    <w:p w14:paraId="59B94BB5" w14:textId="6F8E96A1" w:rsidR="00411C77" w:rsidRDefault="00706E64" w:rsidP="000E5C90">
      <w:pPr>
        <w:pStyle w:val="NormalWeb"/>
        <w:snapToGrid w:val="0"/>
        <w:spacing w:before="0" w:beforeAutospacing="0" w:after="0" w:afterAutospacing="0"/>
      </w:pPr>
      <w:r>
        <w:t>In addition to Routine Precautions, the following</w:t>
      </w:r>
      <w:r w:rsidRPr="00706E64">
        <w:t xml:space="preserve"> </w:t>
      </w:r>
      <w:r>
        <w:t>measures are recommended for health care workers when</w:t>
      </w:r>
      <w:r>
        <w:t xml:space="preserve"> interacting with individuals with suspected, probable, or confirmed monkeypox infection:</w:t>
      </w:r>
    </w:p>
    <w:p w14:paraId="274E675D" w14:textId="258AEC6B" w:rsidR="00706E64" w:rsidRDefault="00706E64" w:rsidP="00706E64">
      <w:pPr>
        <w:pStyle w:val="NormalWeb"/>
        <w:numPr>
          <w:ilvl w:val="0"/>
          <w:numId w:val="3"/>
        </w:numPr>
        <w:snapToGrid w:val="0"/>
        <w:spacing w:before="0" w:beforeAutospacing="0" w:after="0" w:afterAutospacing="0"/>
      </w:pPr>
      <w:r>
        <w:t xml:space="preserve">Place individual with suspect, probable or confirmed monkeypox infection in a single-patient room, with the door closed. </w:t>
      </w:r>
      <w:r w:rsidR="00F516E2">
        <w:t>Inpatients should be placed in a single-person room with a dedicated bathroom.</w:t>
      </w:r>
    </w:p>
    <w:p w14:paraId="24B462B6" w14:textId="2E77B5EB" w:rsidR="00706E64" w:rsidRDefault="00706E64" w:rsidP="00706E64">
      <w:pPr>
        <w:pStyle w:val="NormalWeb"/>
        <w:numPr>
          <w:ilvl w:val="0"/>
          <w:numId w:val="3"/>
        </w:numPr>
        <w:snapToGrid w:val="0"/>
        <w:spacing w:before="0" w:beforeAutospacing="0" w:after="0" w:afterAutospacing="0"/>
      </w:pPr>
      <w:r>
        <w:t xml:space="preserve">Perform hand hygiene as per the </w:t>
      </w:r>
      <w:hyperlink r:id="rId7" w:history="1">
        <w:r w:rsidRPr="00706E64">
          <w:rPr>
            <w:rStyle w:val="Hyperlink"/>
          </w:rPr>
          <w:t>Four Moments of Hand Hygiene</w:t>
        </w:r>
      </w:hyperlink>
      <w:r>
        <w:t xml:space="preserve">. </w:t>
      </w:r>
    </w:p>
    <w:p w14:paraId="373BAD85" w14:textId="5D9C9DCF" w:rsidR="00706E64" w:rsidRDefault="00706E64" w:rsidP="00706E64">
      <w:pPr>
        <w:pStyle w:val="NormalWeb"/>
        <w:numPr>
          <w:ilvl w:val="0"/>
          <w:numId w:val="3"/>
        </w:numPr>
        <w:snapToGrid w:val="0"/>
        <w:spacing w:before="0" w:beforeAutospacing="0" w:after="0" w:afterAutospacing="0"/>
      </w:pPr>
      <w:r>
        <w:t xml:space="preserve">Recommended Personal Protective Equipment (PPE) includes gloves, gown, eye protection (e.g., face shields, safety glasses or goggles), and a fit-tested and seal checked N-95 respirator (or equivalent); perform seal check after donning N95 respirator. </w:t>
      </w:r>
    </w:p>
    <w:p w14:paraId="5C5EFF57" w14:textId="1AB46FA6" w:rsidR="00F516E2" w:rsidRDefault="00F516E2" w:rsidP="00706E64">
      <w:pPr>
        <w:pStyle w:val="NormalWeb"/>
        <w:numPr>
          <w:ilvl w:val="0"/>
          <w:numId w:val="3"/>
        </w:numPr>
        <w:snapToGrid w:val="0"/>
        <w:spacing w:before="0" w:beforeAutospacing="0" w:after="0" w:afterAutospacing="0"/>
      </w:pPr>
      <w:r>
        <w:lastRenderedPageBreak/>
        <w:t>Patients should wear a well-fitting medical mask (</w:t>
      </w:r>
      <w:hyperlink r:id="rId8" w:history="1">
        <w:r w:rsidRPr="00F516E2">
          <w:rPr>
            <w:rStyle w:val="Hyperlink"/>
          </w:rPr>
          <w:t>IDSA</w:t>
        </w:r>
      </w:hyperlink>
      <w:r>
        <w:t>)</w:t>
      </w:r>
    </w:p>
    <w:p w14:paraId="077C9326" w14:textId="1FF9C94D" w:rsidR="00706E64" w:rsidRDefault="00706E64" w:rsidP="00706E64">
      <w:pPr>
        <w:pStyle w:val="NormalWeb"/>
        <w:numPr>
          <w:ilvl w:val="0"/>
          <w:numId w:val="3"/>
        </w:numPr>
        <w:snapToGrid w:val="0"/>
        <w:spacing w:before="0" w:beforeAutospacing="0" w:after="0" w:afterAutospacing="0"/>
      </w:pPr>
      <w:r>
        <w:t>Routine environmental cleaning and disinfection</w:t>
      </w:r>
      <w:r>
        <w:t>:</w:t>
      </w:r>
      <w:r>
        <w:t xml:space="preserve"> Ensure all horizontal surfaces that may be touched by the patient, and equipment that may have been used by or shared between patients, are </w:t>
      </w:r>
      <w:proofErr w:type="gramStart"/>
      <w:r>
        <w:t>cleaned</w:t>
      </w:r>
      <w:proofErr w:type="gramEnd"/>
      <w:r>
        <w:t xml:space="preserve"> and disinfected after every use. </w:t>
      </w:r>
    </w:p>
    <w:p w14:paraId="2ED073FF" w14:textId="4CAC540E" w:rsidR="00706E64" w:rsidRDefault="00706E64" w:rsidP="000E5C90">
      <w:pPr>
        <w:pStyle w:val="NormalWeb"/>
        <w:snapToGrid w:val="0"/>
        <w:spacing w:before="0" w:beforeAutospacing="0" w:after="0" w:afterAutospacing="0"/>
      </w:pPr>
    </w:p>
    <w:p w14:paraId="0A218910" w14:textId="3E9F2432" w:rsidR="00706E64" w:rsidRDefault="00174871" w:rsidP="000E5C90">
      <w:pPr>
        <w:pStyle w:val="NormalWeb"/>
        <w:snapToGrid w:val="0"/>
        <w:spacing w:before="0" w:beforeAutospacing="0" w:after="0" w:afterAutospacing="0"/>
      </w:pPr>
      <w:r>
        <w:t>See</w:t>
      </w:r>
      <w:r w:rsidR="00706E64">
        <w:t xml:space="preserve"> Public Health Ontario’s </w:t>
      </w:r>
      <w:hyperlink r:id="rId9" w:history="1">
        <w:r w:rsidR="00706E64" w:rsidRPr="00174871">
          <w:rPr>
            <w:rStyle w:val="Hyperlink"/>
          </w:rPr>
          <w:t>Infection Prevention and Control (IPAC) Recommendations for Monkeypox in Health Care Settings</w:t>
        </w:r>
      </w:hyperlink>
      <w:r w:rsidR="00706E64">
        <w:t xml:space="preserve"> for more information on IPAC in health care settings including hospitals and outpatient settings</w:t>
      </w:r>
      <w:r>
        <w:t>.</w:t>
      </w:r>
    </w:p>
    <w:p w14:paraId="194AFF80" w14:textId="77777777" w:rsidR="00706E64" w:rsidRDefault="00706E64" w:rsidP="000E5C90">
      <w:pPr>
        <w:pStyle w:val="NormalWeb"/>
        <w:snapToGrid w:val="0"/>
        <w:spacing w:before="0" w:beforeAutospacing="0" w:after="0" w:afterAutospacing="0"/>
      </w:pPr>
    </w:p>
    <w:p w14:paraId="3B723AF0" w14:textId="25D71027" w:rsidR="00706E64" w:rsidRDefault="00706E64" w:rsidP="00706E64">
      <w:pPr>
        <w:pStyle w:val="NormalWeb"/>
        <w:snapToGrid w:val="0"/>
        <w:spacing w:before="0" w:beforeAutospacing="0" w:after="0" w:afterAutospacing="0"/>
      </w:pPr>
      <w:r>
        <w:t xml:space="preserve">Note: </w:t>
      </w:r>
      <w:r>
        <w:t>Screening for symptoms of communicable diseases (e.g., fever, rash, cough) in health care settings</w:t>
      </w:r>
      <w:r>
        <w:t xml:space="preserve"> </w:t>
      </w:r>
      <w:r>
        <w:t>is part of Routine Practices to identify infectious patients</w:t>
      </w:r>
      <w:r>
        <w:t xml:space="preserve">, </w:t>
      </w:r>
      <w:r>
        <w:t xml:space="preserve">including </w:t>
      </w:r>
      <w:r>
        <w:t xml:space="preserve">for </w:t>
      </w:r>
      <w:r>
        <w:t xml:space="preserve">monkeypox. </w:t>
      </w:r>
    </w:p>
    <w:p w14:paraId="492C16C4" w14:textId="77777777" w:rsidR="00706E64" w:rsidRDefault="00706E64" w:rsidP="000E5C90">
      <w:pPr>
        <w:pStyle w:val="NormalWeb"/>
        <w:snapToGrid w:val="0"/>
        <w:spacing w:before="0" w:beforeAutospacing="0" w:after="0" w:afterAutospacing="0"/>
      </w:pPr>
    </w:p>
    <w:p w14:paraId="271C18AF" w14:textId="5D531ECB" w:rsidR="000E5C90" w:rsidRDefault="000E5C90" w:rsidP="00411C77">
      <w:pPr>
        <w:pStyle w:val="NormalWeb"/>
        <w:numPr>
          <w:ilvl w:val="0"/>
          <w:numId w:val="2"/>
        </w:numPr>
        <w:snapToGrid w:val="0"/>
        <w:spacing w:before="0" w:beforeAutospacing="0" w:after="0" w:afterAutospacing="0"/>
        <w:rPr>
          <w:b/>
          <w:bCs/>
        </w:rPr>
      </w:pPr>
      <w:r w:rsidRPr="00681957">
        <w:rPr>
          <w:b/>
          <w:bCs/>
        </w:rPr>
        <w:t xml:space="preserve">Which specimen types are the best for monkeypox testing? </w:t>
      </w:r>
    </w:p>
    <w:p w14:paraId="70486C10" w14:textId="7C161230" w:rsidR="00681957" w:rsidRDefault="00681957" w:rsidP="000E5C90">
      <w:pPr>
        <w:pStyle w:val="NormalWeb"/>
        <w:snapToGrid w:val="0"/>
        <w:spacing w:before="0" w:beforeAutospacing="0" w:after="0" w:afterAutospacing="0"/>
        <w:rPr>
          <w:b/>
          <w:bCs/>
        </w:rPr>
      </w:pPr>
    </w:p>
    <w:p w14:paraId="1F65EBEB" w14:textId="685A8161" w:rsidR="00A77E3F" w:rsidRPr="00A77E3F" w:rsidRDefault="00A77E3F" w:rsidP="000E5C90">
      <w:pPr>
        <w:pStyle w:val="NormalWeb"/>
        <w:snapToGrid w:val="0"/>
        <w:spacing w:before="0" w:beforeAutospacing="0" w:after="0" w:afterAutospacing="0"/>
      </w:pPr>
      <w:r>
        <w:t xml:space="preserve">Accepted specimen types are skin/rash, nasopharyngeal/throat, and blood. </w:t>
      </w:r>
      <w:r w:rsidR="00411C77">
        <w:t>Where available, s</w:t>
      </w:r>
      <w:r>
        <w:t xml:space="preserve">kin specimens are preferred as they have a much higher sensitivity (85-90%) than nasopharyngeal/throat (60-70%) and blood (40-50%) based on analysis done by PHO. </w:t>
      </w:r>
    </w:p>
    <w:p w14:paraId="5F386FDE" w14:textId="77777777" w:rsidR="00A77E3F" w:rsidRPr="00681957" w:rsidRDefault="00A77E3F" w:rsidP="000E5C90">
      <w:pPr>
        <w:pStyle w:val="NormalWeb"/>
        <w:snapToGrid w:val="0"/>
        <w:spacing w:before="0" w:beforeAutospacing="0" w:after="0" w:afterAutospacing="0"/>
        <w:rPr>
          <w:b/>
          <w:bCs/>
        </w:rPr>
      </w:pPr>
    </w:p>
    <w:p w14:paraId="7BEBABDD" w14:textId="3B728DF3" w:rsidR="000E5C90" w:rsidRDefault="000E5C90" w:rsidP="000E5C90">
      <w:pPr>
        <w:pStyle w:val="NormalWeb"/>
        <w:snapToGrid w:val="0"/>
        <w:spacing w:before="0" w:beforeAutospacing="0" w:after="0" w:afterAutospacing="0"/>
      </w:pPr>
      <w:r>
        <w:t xml:space="preserve">Therefore, patients with 2-3 skin lesions that can be swabbed generally </w:t>
      </w:r>
      <w:r w:rsidRPr="00411C77">
        <w:rPr>
          <w:u w:val="single"/>
        </w:rPr>
        <w:t>do not</w:t>
      </w:r>
      <w:r>
        <w:t xml:space="preserve"> require blood or respiratory specimens collected for monkeypox testing. </w:t>
      </w:r>
    </w:p>
    <w:p w14:paraId="07BE0B49" w14:textId="77777777" w:rsidR="00A77E3F" w:rsidRDefault="00A77E3F" w:rsidP="000E5C90">
      <w:pPr>
        <w:pStyle w:val="NormalWeb"/>
        <w:snapToGrid w:val="0"/>
        <w:spacing w:before="0" w:beforeAutospacing="0" w:after="0" w:afterAutospacing="0"/>
      </w:pPr>
    </w:p>
    <w:p w14:paraId="0E5C0AC6" w14:textId="065881E1" w:rsidR="00A77E3F" w:rsidRDefault="00411C77" w:rsidP="000E5C90">
      <w:pPr>
        <w:pStyle w:val="NormalWeb"/>
        <w:snapToGrid w:val="0"/>
        <w:spacing w:before="0" w:beforeAutospacing="0" w:after="0" w:afterAutospacing="0"/>
      </w:pPr>
      <w:r>
        <w:t xml:space="preserve">In patients suspected to have monkeypox infection who do not have a skin rash </w:t>
      </w:r>
      <w:r>
        <w:t>(</w:t>
      </w:r>
      <w:proofErr w:type="gramStart"/>
      <w:r>
        <w:t>e.g.</w:t>
      </w:r>
      <w:proofErr w:type="gramEnd"/>
      <w:r>
        <w:t xml:space="preserve"> a close contact of a case with a febrile illness but no rash)</w:t>
      </w:r>
      <w:r>
        <w:t xml:space="preserve"> or have skin rash that cannot be reliably swabbed (e.g., macular and/or </w:t>
      </w:r>
      <w:proofErr w:type="spellStart"/>
      <w:r>
        <w:t>papular</w:t>
      </w:r>
      <w:proofErr w:type="spellEnd"/>
      <w:r>
        <w:t xml:space="preserve"> rash only), clinicians should submit a nasopharyngeal or throat swab in addition to a blood sample. </w:t>
      </w:r>
    </w:p>
    <w:p w14:paraId="1A371E08" w14:textId="77777777" w:rsidR="000E5C90" w:rsidRDefault="000E5C90" w:rsidP="000E5C90">
      <w:pPr>
        <w:pStyle w:val="NormalWeb"/>
        <w:snapToGrid w:val="0"/>
        <w:spacing w:before="0" w:beforeAutospacing="0" w:after="0" w:afterAutospacing="0"/>
      </w:pPr>
    </w:p>
    <w:p w14:paraId="4DA9DE95" w14:textId="68E40D33" w:rsidR="00A77E3F" w:rsidRPr="00A77E3F" w:rsidRDefault="00A77E3F" w:rsidP="00A77E3F">
      <w:r w:rsidRPr="00A77E3F">
        <w:t>C</w:t>
      </w:r>
      <w:r>
        <w:t>linicians can also c</w:t>
      </w:r>
      <w:r w:rsidRPr="00A77E3F">
        <w:t xml:space="preserve">onsult with Public Health Ontario </w:t>
      </w:r>
      <w:r>
        <w:t>with</w:t>
      </w:r>
      <w:r w:rsidRPr="00A77E3F">
        <w:t xml:space="preserve"> any questions regarding testing indications, specimen collection or transportation</w:t>
      </w:r>
      <w:r w:rsidR="00C1374D">
        <w:t>:</w:t>
      </w:r>
      <w:r>
        <w:t xml:space="preserve"> </w:t>
      </w:r>
      <w:r w:rsidR="00C1374D" w:rsidRPr="00C1374D">
        <w:t>PHOL Customer</w:t>
      </w:r>
      <w:r w:rsidR="00C1374D" w:rsidRPr="00C1374D">
        <w:t xml:space="preserve"> </w:t>
      </w:r>
      <w:r w:rsidR="00C1374D" w:rsidRPr="00C1374D">
        <w:t>Service Centre at 416-235-6556/1-877-604-4567 or the after-hours Duty</w:t>
      </w:r>
      <w:r w:rsidR="00C1374D" w:rsidRPr="00C1374D">
        <w:t xml:space="preserve"> </w:t>
      </w:r>
      <w:r w:rsidR="00C1374D" w:rsidRPr="00C1374D">
        <w:t xml:space="preserve">Officer at 416-605-3113. </w:t>
      </w:r>
      <w:r>
        <w:t xml:space="preserve">Also see: </w:t>
      </w:r>
      <w:hyperlink r:id="rId10" w:history="1">
        <w:r w:rsidRPr="00211AC7">
          <w:rPr>
            <w:rStyle w:val="Hyperlink"/>
          </w:rPr>
          <w:t>https://www.publichealthontario.ca/en/laboratory-services/test-information-index/monkeypox-virus</w:t>
        </w:r>
      </w:hyperlink>
      <w:r>
        <w:t xml:space="preserve"> </w:t>
      </w:r>
    </w:p>
    <w:p w14:paraId="7602BA96" w14:textId="1323D301" w:rsidR="000E5C90" w:rsidRDefault="000E5C90" w:rsidP="000E5C90">
      <w:pPr>
        <w:pStyle w:val="NormalWeb"/>
        <w:snapToGrid w:val="0"/>
        <w:spacing w:before="0" w:beforeAutospacing="0" w:after="0" w:afterAutospacing="0"/>
      </w:pPr>
    </w:p>
    <w:p w14:paraId="60628209" w14:textId="4FD344E4" w:rsidR="00174871" w:rsidRPr="00174871" w:rsidRDefault="00174871" w:rsidP="00174871">
      <w:pPr>
        <w:pStyle w:val="NormalWeb"/>
        <w:numPr>
          <w:ilvl w:val="0"/>
          <w:numId w:val="2"/>
        </w:numPr>
        <w:snapToGrid w:val="0"/>
        <w:spacing w:before="0" w:beforeAutospacing="0" w:after="0" w:afterAutospacing="0"/>
        <w:rPr>
          <w:b/>
          <w:bCs/>
        </w:rPr>
      </w:pPr>
      <w:r w:rsidRPr="00174871">
        <w:rPr>
          <w:b/>
          <w:bCs/>
        </w:rPr>
        <w:t>How should specimens be</w:t>
      </w:r>
      <w:r w:rsidR="00D91F7C">
        <w:rPr>
          <w:b/>
          <w:bCs/>
        </w:rPr>
        <w:t xml:space="preserve"> stored,</w:t>
      </w:r>
      <w:r w:rsidRPr="00174871">
        <w:rPr>
          <w:b/>
          <w:bCs/>
        </w:rPr>
        <w:t xml:space="preserve"> packaged</w:t>
      </w:r>
      <w:r w:rsidR="00D91F7C">
        <w:rPr>
          <w:b/>
          <w:bCs/>
        </w:rPr>
        <w:t>,</w:t>
      </w:r>
      <w:r w:rsidRPr="00174871">
        <w:rPr>
          <w:b/>
          <w:bCs/>
        </w:rPr>
        <w:t xml:space="preserve"> and transported from clinic/hospital to the laboratory?</w:t>
      </w:r>
    </w:p>
    <w:p w14:paraId="26BBBB0C" w14:textId="7706AF39" w:rsidR="00174871" w:rsidRDefault="00174871" w:rsidP="00174871">
      <w:pPr>
        <w:pStyle w:val="NormalWeb"/>
        <w:snapToGrid w:val="0"/>
        <w:spacing w:before="0" w:beforeAutospacing="0" w:after="0" w:afterAutospacing="0"/>
      </w:pPr>
    </w:p>
    <w:p w14:paraId="017B37DC" w14:textId="17F64EC9" w:rsidR="00D91F7C" w:rsidRPr="00D91F7C" w:rsidRDefault="00D91F7C" w:rsidP="00D91F7C">
      <w:pPr>
        <w:pStyle w:val="NormalWeb"/>
        <w:snapToGrid w:val="0"/>
        <w:spacing w:before="0" w:beforeAutospacing="0" w:after="0" w:afterAutospacing="0"/>
      </w:pPr>
      <w:r w:rsidRPr="00D91F7C">
        <w:rPr>
          <w:u w:val="single"/>
        </w:rPr>
        <w:t>Specimen storage:</w:t>
      </w:r>
      <w:r>
        <w:t xml:space="preserve"> S</w:t>
      </w:r>
      <w:proofErr w:type="spellStart"/>
      <w:r w:rsidRPr="00D91F7C">
        <w:rPr>
          <w:lang w:val="en-US"/>
        </w:rPr>
        <w:t>pecimens</w:t>
      </w:r>
      <w:proofErr w:type="spellEnd"/>
      <w:r w:rsidRPr="00D91F7C">
        <w:rPr>
          <w:lang w:val="en-US"/>
        </w:rPr>
        <w:t xml:space="preserve"> can be </w:t>
      </w:r>
      <w:r>
        <w:rPr>
          <w:lang w:val="en-US"/>
        </w:rPr>
        <w:t>(</w:t>
      </w:r>
      <w:r w:rsidRPr="00D91F7C">
        <w:rPr>
          <w:lang w:val="en-US"/>
        </w:rPr>
        <w:t>re</w:t>
      </w:r>
      <w:r>
        <w:rPr>
          <w:lang w:val="en-US"/>
        </w:rPr>
        <w:t>-)</w:t>
      </w:r>
      <w:r w:rsidRPr="00D91F7C">
        <w:rPr>
          <w:lang w:val="en-US"/>
        </w:rPr>
        <w:t>packaged and placed in the fridge for up to 3 days</w:t>
      </w:r>
      <w:r>
        <w:rPr>
          <w:lang w:val="en-US"/>
        </w:rPr>
        <w:t xml:space="preserve">. </w:t>
      </w:r>
    </w:p>
    <w:p w14:paraId="567D1A16" w14:textId="6F1A9922" w:rsidR="00D91F7C" w:rsidRDefault="00D91F7C" w:rsidP="00174871">
      <w:pPr>
        <w:pStyle w:val="NormalWeb"/>
        <w:snapToGrid w:val="0"/>
        <w:spacing w:before="0" w:beforeAutospacing="0" w:after="0" w:afterAutospacing="0"/>
      </w:pPr>
    </w:p>
    <w:p w14:paraId="19FEEBF8" w14:textId="4A7EDED9" w:rsidR="00C208D2" w:rsidRDefault="00D91F7C" w:rsidP="00174871">
      <w:pPr>
        <w:pStyle w:val="NormalWeb"/>
        <w:snapToGrid w:val="0"/>
        <w:spacing w:before="0" w:beforeAutospacing="0" w:after="0" w:afterAutospacing="0"/>
        <w:rPr>
          <w:b/>
          <w:bCs/>
        </w:rPr>
      </w:pPr>
      <w:r w:rsidRPr="00D91F7C">
        <w:rPr>
          <w:u w:val="single"/>
        </w:rPr>
        <w:t>Specimen packaging and transportation:</w:t>
      </w:r>
      <w:r>
        <w:t xml:space="preserve"> </w:t>
      </w:r>
      <w:r w:rsidR="00C208D2" w:rsidRPr="00C208D2">
        <w:rPr>
          <w:b/>
          <w:bCs/>
        </w:rPr>
        <w:t xml:space="preserve">Monkeypox specimens </w:t>
      </w:r>
      <w:r w:rsidR="00C208D2">
        <w:rPr>
          <w:b/>
          <w:bCs/>
        </w:rPr>
        <w:t>require</w:t>
      </w:r>
      <w:r w:rsidR="00C208D2" w:rsidRPr="00C208D2">
        <w:rPr>
          <w:b/>
          <w:bCs/>
        </w:rPr>
        <w:t xml:space="preserve"> the same packing and transportation/courier systems that</w:t>
      </w:r>
      <w:r>
        <w:rPr>
          <w:b/>
          <w:bCs/>
        </w:rPr>
        <w:t xml:space="preserve"> </w:t>
      </w:r>
      <w:r w:rsidR="00C208D2" w:rsidRPr="00C208D2">
        <w:rPr>
          <w:b/>
          <w:bCs/>
        </w:rPr>
        <w:t xml:space="preserve">are used for other microbiological testing in outpatient and acute care settings. </w:t>
      </w:r>
    </w:p>
    <w:p w14:paraId="5543383E" w14:textId="77777777" w:rsidR="00C208D2" w:rsidRDefault="00C208D2" w:rsidP="00174871">
      <w:pPr>
        <w:pStyle w:val="NormalWeb"/>
        <w:snapToGrid w:val="0"/>
        <w:spacing w:before="0" w:beforeAutospacing="0" w:after="0" w:afterAutospacing="0"/>
      </w:pPr>
    </w:p>
    <w:p w14:paraId="1EB14E8E" w14:textId="109287C2" w:rsidR="00174871" w:rsidRDefault="00174871" w:rsidP="00174871">
      <w:pPr>
        <w:pStyle w:val="NormalWeb"/>
        <w:snapToGrid w:val="0"/>
        <w:spacing w:before="0" w:beforeAutospacing="0" w:after="0" w:afterAutospacing="0"/>
      </w:pPr>
      <w:r>
        <w:t>Transport Canada has temporarily reclassified clinical specimens from patients undergoing monkeypox testing as UN3373 Biological Substance, Category B for land transport. This is the same packaging that is currently in place for transporting any specimen from a patient with a suspected infection (</w:t>
      </w:r>
      <w:proofErr w:type="gramStart"/>
      <w:r>
        <w:t>e.g.</w:t>
      </w:r>
      <w:proofErr w:type="gramEnd"/>
      <w:r>
        <w:t xml:space="preserve"> NP swab, vaginal swab, blood cultures). </w:t>
      </w:r>
    </w:p>
    <w:p w14:paraId="606EE435" w14:textId="1935B114" w:rsidR="00174871" w:rsidRDefault="00174871" w:rsidP="00174871">
      <w:pPr>
        <w:pStyle w:val="NormalWeb"/>
        <w:snapToGrid w:val="0"/>
        <w:spacing w:before="0" w:beforeAutospacing="0" w:after="0" w:afterAutospacing="0"/>
      </w:pPr>
    </w:p>
    <w:p w14:paraId="131F4FB7" w14:textId="48030D85" w:rsidR="00174871" w:rsidRPr="00972DA5" w:rsidRDefault="00174871" w:rsidP="00972DA5">
      <w:r>
        <w:lastRenderedPageBreak/>
        <w:t xml:space="preserve">In addition to the routine Category B requirement, the outer packaging must be marked, on a contrasting background, with </w:t>
      </w:r>
      <w:r w:rsidRPr="00174871">
        <w:rPr>
          <w:b/>
          <w:bCs/>
        </w:rPr>
        <w:t>“TU 0886”</w:t>
      </w:r>
      <w:r>
        <w:t xml:space="preserve">, </w:t>
      </w:r>
      <w:r w:rsidRPr="00174871">
        <w:rPr>
          <w:b/>
          <w:bCs/>
        </w:rPr>
        <w:t xml:space="preserve">“Temporary </w:t>
      </w:r>
      <w:r w:rsidRPr="00972DA5">
        <w:rPr>
          <w:b/>
          <w:bCs/>
        </w:rPr>
        <w:t>Certificate – TU 0886”</w:t>
      </w:r>
      <w:r w:rsidRPr="00972DA5">
        <w:t xml:space="preserve"> or </w:t>
      </w:r>
      <w:r w:rsidRPr="00972DA5">
        <w:rPr>
          <w:b/>
          <w:bCs/>
        </w:rPr>
        <w:t>“</w:t>
      </w:r>
      <w:proofErr w:type="spellStart"/>
      <w:r w:rsidRPr="00972DA5">
        <w:rPr>
          <w:b/>
          <w:bCs/>
        </w:rPr>
        <w:t>Certificat</w:t>
      </w:r>
      <w:proofErr w:type="spellEnd"/>
      <w:r w:rsidRPr="00972DA5">
        <w:rPr>
          <w:b/>
          <w:bCs/>
        </w:rPr>
        <w:t xml:space="preserve"> </w:t>
      </w:r>
      <w:proofErr w:type="spellStart"/>
      <w:r w:rsidRPr="00972DA5">
        <w:rPr>
          <w:b/>
          <w:bCs/>
        </w:rPr>
        <w:t>Temporaire</w:t>
      </w:r>
      <w:proofErr w:type="spellEnd"/>
      <w:r w:rsidRPr="00972DA5">
        <w:rPr>
          <w:b/>
          <w:bCs/>
        </w:rPr>
        <w:t xml:space="preserve"> – TU 0886”</w:t>
      </w:r>
      <w:r w:rsidRPr="00972DA5">
        <w:t xml:space="preserve">. </w:t>
      </w:r>
      <w:r w:rsidR="00972DA5">
        <w:rPr>
          <w:lang w:val="en-US"/>
        </w:rPr>
        <w:t>A</w:t>
      </w:r>
      <w:r w:rsidR="00972DA5" w:rsidRPr="00972DA5">
        <w:rPr>
          <w:lang w:val="en-US"/>
        </w:rPr>
        <w:t xml:space="preserve"> copy of th</w:t>
      </w:r>
      <w:r w:rsidR="00972DA5">
        <w:rPr>
          <w:lang w:val="en-US"/>
        </w:rPr>
        <w:t>is</w:t>
      </w:r>
      <w:r w:rsidR="00972DA5" w:rsidRPr="00972DA5">
        <w:rPr>
          <w:lang w:val="en-US"/>
        </w:rPr>
        <w:t xml:space="preserve"> label here (4x2) can be printed on A4 paper, cut out and affixed with tape to the outside of the </w:t>
      </w:r>
      <w:r w:rsidR="00972DA5">
        <w:rPr>
          <w:lang w:val="en-US"/>
        </w:rPr>
        <w:t>package</w:t>
      </w:r>
      <w:r w:rsidR="00972DA5" w:rsidRPr="00972DA5">
        <w:rPr>
          <w:lang w:val="en-US"/>
        </w:rPr>
        <w:t>. </w:t>
      </w:r>
      <w:r w:rsidRPr="00972DA5">
        <w:t xml:space="preserve">For full details on packaging and transporting, </w:t>
      </w:r>
      <w:r w:rsidR="00D91F7C">
        <w:t xml:space="preserve">go to: </w:t>
      </w:r>
      <w:hyperlink r:id="rId11" w:history="1">
        <w:r w:rsidR="00D91F7C" w:rsidRPr="00972DA5">
          <w:rPr>
            <w:rStyle w:val="Hyperlink"/>
          </w:rPr>
          <w:t>Temporary Certificate TU</w:t>
        </w:r>
        <w:r w:rsidR="00D91F7C" w:rsidRPr="00972DA5">
          <w:rPr>
            <w:rStyle w:val="Hyperlink"/>
          </w:rPr>
          <w:t xml:space="preserve"> </w:t>
        </w:r>
        <w:r w:rsidR="00D91F7C" w:rsidRPr="00972DA5">
          <w:rPr>
            <w:rStyle w:val="Hyperlink"/>
          </w:rPr>
          <w:t>0886</w:t>
        </w:r>
      </w:hyperlink>
      <w:r w:rsidR="00D91F7C">
        <w:t xml:space="preserve"> and </w:t>
      </w:r>
      <w:hyperlink r:id="rId12" w:history="1">
        <w:r w:rsidR="00D91F7C" w:rsidRPr="00211AC7">
          <w:rPr>
            <w:rStyle w:val="Hyperlink"/>
          </w:rPr>
          <w:t>https://tc.canada.ca/en/dangerous-goods/shipping-infectious-substances#packaging</w:t>
        </w:r>
      </w:hyperlink>
      <w:r w:rsidRPr="00972DA5">
        <w:t xml:space="preserve">. </w:t>
      </w:r>
    </w:p>
    <w:p w14:paraId="607E2188" w14:textId="4B2B3D7C" w:rsidR="00C208D2" w:rsidRDefault="00C208D2" w:rsidP="000E5C90">
      <w:pPr>
        <w:pStyle w:val="NormalWeb"/>
        <w:snapToGrid w:val="0"/>
        <w:spacing w:before="0" w:beforeAutospacing="0" w:after="0" w:afterAutospacing="0"/>
      </w:pPr>
    </w:p>
    <w:p w14:paraId="2F5F6204" w14:textId="2E52DFB1" w:rsidR="00D91F7C" w:rsidRPr="00D91F7C" w:rsidRDefault="000E5C90" w:rsidP="00D91F7C">
      <w:pPr>
        <w:pStyle w:val="NormalWeb"/>
        <w:snapToGrid w:val="0"/>
        <w:spacing w:before="0" w:beforeAutospacing="0" w:after="0" w:afterAutospacing="0"/>
      </w:pPr>
      <w:r>
        <w:t xml:space="preserve">The same courier systems that currently pick up specimens for microbiology testing from healthcare provider practice locations can be utilized for transporting monkeypox specimens to the testing laboratory. </w:t>
      </w:r>
      <w:r w:rsidR="00D91F7C" w:rsidRPr="00D91F7C">
        <w:rPr>
          <w:lang w:val="en-US"/>
        </w:rPr>
        <w:t xml:space="preserve">In the case it is not packaged at the time the courier arrives, specimens can </w:t>
      </w:r>
      <w:r w:rsidR="00D91F7C">
        <w:rPr>
          <w:lang w:val="en-US"/>
        </w:rPr>
        <w:t xml:space="preserve">be stored in the fridge and </w:t>
      </w:r>
      <w:r w:rsidR="00D91F7C" w:rsidRPr="00D91F7C">
        <w:rPr>
          <w:lang w:val="en-US"/>
        </w:rPr>
        <w:t>be picked up at a later time or next day</w:t>
      </w:r>
      <w:r w:rsidR="00D91F7C">
        <w:rPr>
          <w:lang w:val="en-US"/>
        </w:rPr>
        <w:t>.</w:t>
      </w:r>
      <w:r w:rsidR="00D91F7C" w:rsidRPr="00D91F7C">
        <w:rPr>
          <w:lang w:val="en-US"/>
        </w:rPr>
        <w:t xml:space="preserve"> </w:t>
      </w:r>
    </w:p>
    <w:p w14:paraId="1B5D030B" w14:textId="77777777" w:rsidR="00D91F7C" w:rsidRDefault="00D91F7C" w:rsidP="000E5C90">
      <w:pPr>
        <w:pStyle w:val="NormalWeb"/>
        <w:snapToGrid w:val="0"/>
        <w:spacing w:before="0" w:beforeAutospacing="0" w:after="0" w:afterAutospacing="0"/>
      </w:pPr>
    </w:p>
    <w:p w14:paraId="3F53E9DA" w14:textId="15C6FECD" w:rsidR="000E5C90" w:rsidRDefault="000E5C90" w:rsidP="000E5C90">
      <w:pPr>
        <w:pStyle w:val="NormalWeb"/>
        <w:snapToGrid w:val="0"/>
        <w:spacing w:before="0" w:beforeAutospacing="0" w:after="0" w:afterAutospacing="0"/>
      </w:pPr>
      <w:r>
        <w:t xml:space="preserve">For more detailed information on all aspects of laboratory testing for monkeypox, refer to PHO’s laboratory services </w:t>
      </w:r>
      <w:hyperlink r:id="rId13" w:history="1">
        <w:r w:rsidRPr="00C208D2">
          <w:rPr>
            <w:rStyle w:val="Hyperlink"/>
          </w:rPr>
          <w:t>Monkeypox Virus Test Information Sheet</w:t>
        </w:r>
      </w:hyperlink>
      <w:r w:rsidR="00C208D2">
        <w:t xml:space="preserve">. </w:t>
      </w:r>
    </w:p>
    <w:p w14:paraId="30F1F553" w14:textId="77777777" w:rsidR="000E5C90" w:rsidRDefault="000E5C90" w:rsidP="000E5C90">
      <w:pPr>
        <w:pStyle w:val="NormalWeb"/>
        <w:snapToGrid w:val="0"/>
        <w:spacing w:before="0" w:beforeAutospacing="0" w:after="0" w:afterAutospacing="0"/>
      </w:pPr>
    </w:p>
    <w:p w14:paraId="57CA3267" w14:textId="2DC4A7B4" w:rsidR="000E5C90" w:rsidRPr="00C208D2" w:rsidRDefault="00C208D2" w:rsidP="00C208D2">
      <w:pPr>
        <w:pStyle w:val="NormalWeb"/>
        <w:numPr>
          <w:ilvl w:val="0"/>
          <w:numId w:val="2"/>
        </w:numPr>
        <w:snapToGrid w:val="0"/>
        <w:spacing w:before="0" w:beforeAutospacing="0" w:after="0" w:afterAutospacing="0"/>
        <w:rPr>
          <w:b/>
          <w:bCs/>
        </w:rPr>
      </w:pPr>
      <w:r w:rsidRPr="00C208D2">
        <w:rPr>
          <w:b/>
          <w:bCs/>
        </w:rPr>
        <w:t xml:space="preserve">Is monkeypox reportable? </w:t>
      </w:r>
    </w:p>
    <w:p w14:paraId="6C6264AD" w14:textId="726E97C9" w:rsidR="00C208D2" w:rsidRDefault="00C208D2" w:rsidP="00C208D2">
      <w:pPr>
        <w:pStyle w:val="NormalWeb"/>
        <w:snapToGrid w:val="0"/>
        <w:spacing w:before="0" w:beforeAutospacing="0" w:after="0" w:afterAutospacing="0"/>
      </w:pPr>
    </w:p>
    <w:p w14:paraId="17C1F953" w14:textId="385501C5" w:rsidR="00C1374D" w:rsidRDefault="00C1374D" w:rsidP="00C208D2">
      <w:pPr>
        <w:pStyle w:val="NormalWeb"/>
        <w:snapToGrid w:val="0"/>
        <w:spacing w:before="0" w:beforeAutospacing="0" w:after="0" w:afterAutospacing="0"/>
      </w:pPr>
      <w:r>
        <w:t xml:space="preserve">Monkeypox is a reportable disease of public health significance in Ontario. All confirmed, probable, or suspect cases, as well as any persons under investigation, should be reported to the </w:t>
      </w:r>
      <w:hyperlink r:id="rId14" w:history="1">
        <w:r w:rsidRPr="00C1374D">
          <w:rPr>
            <w:rStyle w:val="Hyperlink"/>
          </w:rPr>
          <w:t>local public health unit</w:t>
        </w:r>
      </w:hyperlink>
      <w:r>
        <w:t xml:space="preserve">. </w:t>
      </w:r>
    </w:p>
    <w:p w14:paraId="551B01CF" w14:textId="77777777" w:rsidR="00C1374D" w:rsidRDefault="00C1374D" w:rsidP="00C208D2">
      <w:pPr>
        <w:pStyle w:val="NormalWeb"/>
        <w:snapToGrid w:val="0"/>
        <w:spacing w:before="0" w:beforeAutospacing="0" w:after="0" w:afterAutospacing="0"/>
      </w:pPr>
    </w:p>
    <w:p w14:paraId="446EA2EE" w14:textId="5FFDD6A1" w:rsidR="00C208D2" w:rsidRPr="00C208D2" w:rsidRDefault="00C208D2" w:rsidP="00C208D2">
      <w:pPr>
        <w:pStyle w:val="NormalWeb"/>
        <w:numPr>
          <w:ilvl w:val="0"/>
          <w:numId w:val="2"/>
        </w:numPr>
        <w:snapToGrid w:val="0"/>
        <w:spacing w:before="0" w:beforeAutospacing="0" w:after="0" w:afterAutospacing="0"/>
        <w:rPr>
          <w:b/>
          <w:bCs/>
        </w:rPr>
      </w:pPr>
      <w:r w:rsidRPr="00C208D2">
        <w:rPr>
          <w:b/>
          <w:bCs/>
        </w:rPr>
        <w:t>How do you manage a patient with a monkeypox infection?</w:t>
      </w:r>
    </w:p>
    <w:p w14:paraId="50C44001" w14:textId="3031A9E6" w:rsidR="000E5C90" w:rsidRDefault="000E5C90" w:rsidP="000E5C90">
      <w:pPr>
        <w:pStyle w:val="NormalWeb"/>
        <w:snapToGrid w:val="0"/>
        <w:spacing w:before="0" w:beforeAutospacing="0" w:after="0" w:afterAutospacing="0"/>
      </w:pPr>
    </w:p>
    <w:p w14:paraId="38B7B7AF" w14:textId="3EB3A5A6" w:rsidR="00C1374D" w:rsidRDefault="00C1374D" w:rsidP="00C1374D">
      <w:r w:rsidRPr="00C1374D">
        <w:t xml:space="preserve">Treatment is primarily symptomatic and supportive (alleviation of fever and pruritus, hydration), including prevention and treatment of secondary bacterial infections. </w:t>
      </w:r>
      <w:r>
        <w:t xml:space="preserve">In severe cases, antiviral medications are available on a limited, case-by-case basis. </w:t>
      </w:r>
    </w:p>
    <w:p w14:paraId="0CE69C03" w14:textId="77777777" w:rsidR="00C1374D" w:rsidRDefault="00C1374D" w:rsidP="00C1374D"/>
    <w:p w14:paraId="21EE72D8" w14:textId="1CF2CFCB" w:rsidR="00A52AFA" w:rsidRPr="00EF7B33" w:rsidRDefault="005E16F6" w:rsidP="00C1374D">
      <w:r>
        <w:t xml:space="preserve">In order to limit the </w:t>
      </w:r>
      <w:proofErr w:type="gramStart"/>
      <w:r>
        <w:t>potential</w:t>
      </w:r>
      <w:proofErr w:type="gramEnd"/>
      <w:r>
        <w:t xml:space="preserve"> spread to others, p</w:t>
      </w:r>
      <w:r w:rsidR="00C1374D">
        <w:t>atien</w:t>
      </w:r>
      <w:r>
        <w:t xml:space="preserve">ts who are confirmed or probable cases of monkeypox </w:t>
      </w:r>
      <w:r w:rsidR="00C1374D">
        <w:t xml:space="preserve">should </w:t>
      </w:r>
      <w:r w:rsidR="00A52AFA">
        <w:t xml:space="preserve">also </w:t>
      </w:r>
      <w:r w:rsidR="00C1374D">
        <w:t xml:space="preserve">be counseled to self-isolate </w:t>
      </w:r>
      <w:r>
        <w:t>at home</w:t>
      </w:r>
      <w:r w:rsidRPr="005E16F6">
        <w:t xml:space="preserve"> until the end of the period of </w:t>
      </w:r>
      <w:r w:rsidRPr="00EF7B33">
        <w:t>communicability – i.e., until lesion scabs have fallen off and new intact skin has formed below, a process which varies by individual but typically takes 2-4 weeks. Other advice should include:</w:t>
      </w:r>
    </w:p>
    <w:p w14:paraId="487F2B11" w14:textId="1A0B5707" w:rsidR="005E16F6" w:rsidRPr="00EF7B33" w:rsidRDefault="005E16F6" w:rsidP="005E16F6">
      <w:pPr>
        <w:pStyle w:val="ListParagraph"/>
        <w:numPr>
          <w:ilvl w:val="0"/>
          <w:numId w:val="12"/>
        </w:numPr>
        <w:rPr>
          <w:rFonts w:ascii="Times New Roman" w:hAnsi="Times New Roman" w:cs="Times New Roman"/>
        </w:rPr>
      </w:pPr>
      <w:r w:rsidRPr="00EF7B33">
        <w:rPr>
          <w:rFonts w:ascii="Times New Roman" w:hAnsi="Times New Roman" w:cs="Times New Roman"/>
        </w:rPr>
        <w:t>Stay in a separate room/area away from other household members if possible and use a separate bathroom if available/feasible</w:t>
      </w:r>
    </w:p>
    <w:p w14:paraId="195975DD" w14:textId="77777777" w:rsidR="005E16F6" w:rsidRPr="00EF7B33" w:rsidRDefault="005E16F6" w:rsidP="005E16F6">
      <w:pPr>
        <w:pStyle w:val="ListParagraph"/>
        <w:numPr>
          <w:ilvl w:val="0"/>
          <w:numId w:val="12"/>
        </w:numPr>
        <w:rPr>
          <w:rFonts w:ascii="Times New Roman" w:hAnsi="Times New Roman" w:cs="Times New Roman"/>
        </w:rPr>
      </w:pPr>
      <w:r w:rsidRPr="00EF7B33">
        <w:rPr>
          <w:rFonts w:ascii="Times New Roman" w:hAnsi="Times New Roman" w:cs="Times New Roman"/>
        </w:rPr>
        <w:t xml:space="preserve">Avoid contact with those at higher risk of severe monkeypox illness including immunosuppressed people, pregnant women, and children </w:t>
      </w:r>
      <w:proofErr w:type="gramStart"/>
      <w:r w:rsidRPr="00EF7B33">
        <w:rPr>
          <w:rFonts w:ascii="Times New Roman" w:hAnsi="Times New Roman" w:cs="Times New Roman"/>
        </w:rPr>
        <w:t>under age</w:t>
      </w:r>
      <w:proofErr w:type="gramEnd"/>
      <w:r w:rsidRPr="00EF7B33">
        <w:rPr>
          <w:rFonts w:ascii="Times New Roman" w:hAnsi="Times New Roman" w:cs="Times New Roman"/>
        </w:rPr>
        <w:t xml:space="preserve"> 12</w:t>
      </w:r>
      <w:r w:rsidRPr="00EF7B33">
        <w:rPr>
          <w:rFonts w:ascii="Times New Roman" w:hAnsi="Times New Roman" w:cs="Times New Roman"/>
        </w:rPr>
        <w:br/>
        <w:t>years</w:t>
      </w:r>
    </w:p>
    <w:p w14:paraId="75A2C6E5" w14:textId="77777777" w:rsidR="005E16F6" w:rsidRPr="00EF7B33" w:rsidRDefault="005E16F6" w:rsidP="005E16F6">
      <w:pPr>
        <w:pStyle w:val="ListParagraph"/>
        <w:numPr>
          <w:ilvl w:val="0"/>
          <w:numId w:val="12"/>
        </w:numPr>
        <w:rPr>
          <w:rFonts w:ascii="Times New Roman" w:hAnsi="Times New Roman" w:cs="Times New Roman"/>
        </w:rPr>
      </w:pPr>
      <w:r w:rsidRPr="00EF7B33">
        <w:rPr>
          <w:rFonts w:ascii="Times New Roman" w:hAnsi="Times New Roman" w:cs="Times New Roman"/>
        </w:rPr>
        <w:t>Avoid leaving the home unless necessary (e.g., to seek essential medical care)</w:t>
      </w:r>
    </w:p>
    <w:p w14:paraId="63C02EFD" w14:textId="77777777" w:rsidR="005E16F6" w:rsidRPr="00EF7B33" w:rsidRDefault="005E16F6" w:rsidP="005E16F6">
      <w:pPr>
        <w:pStyle w:val="ListParagraph"/>
        <w:numPr>
          <w:ilvl w:val="0"/>
          <w:numId w:val="12"/>
        </w:numPr>
        <w:rPr>
          <w:rFonts w:ascii="Times New Roman" w:hAnsi="Times New Roman" w:cs="Times New Roman"/>
        </w:rPr>
      </w:pPr>
      <w:r w:rsidRPr="00EF7B33">
        <w:rPr>
          <w:rFonts w:ascii="Times New Roman" w:hAnsi="Times New Roman" w:cs="Times New Roman"/>
        </w:rPr>
        <w:t>Avoid non-essential household visitors</w:t>
      </w:r>
    </w:p>
    <w:p w14:paraId="367C31D8" w14:textId="77777777" w:rsidR="005E16F6" w:rsidRPr="00EF7B33" w:rsidRDefault="005E16F6" w:rsidP="005E16F6">
      <w:pPr>
        <w:pStyle w:val="ListParagraph"/>
        <w:numPr>
          <w:ilvl w:val="0"/>
          <w:numId w:val="12"/>
        </w:numPr>
        <w:rPr>
          <w:rFonts w:ascii="Times New Roman" w:hAnsi="Times New Roman" w:cs="Times New Roman"/>
        </w:rPr>
      </w:pPr>
      <w:r w:rsidRPr="00EF7B33">
        <w:rPr>
          <w:rFonts w:ascii="Times New Roman" w:hAnsi="Times New Roman" w:cs="Times New Roman"/>
        </w:rPr>
        <w:t>Wear a mask for source control (medical mask preferred), especially if respiratory symptoms are present</w:t>
      </w:r>
    </w:p>
    <w:p w14:paraId="56441773" w14:textId="77777777" w:rsidR="005E16F6" w:rsidRPr="00EF7B33" w:rsidRDefault="005E16F6" w:rsidP="005E16F6">
      <w:pPr>
        <w:pStyle w:val="ListParagraph"/>
        <w:numPr>
          <w:ilvl w:val="0"/>
          <w:numId w:val="12"/>
        </w:numPr>
        <w:rPr>
          <w:rFonts w:ascii="Times New Roman" w:hAnsi="Times New Roman" w:cs="Times New Roman"/>
        </w:rPr>
      </w:pPr>
      <w:r w:rsidRPr="00EF7B33">
        <w:rPr>
          <w:rFonts w:ascii="Times New Roman" w:hAnsi="Times New Roman" w:cs="Times New Roman"/>
        </w:rPr>
        <w:t>Cover skin lesions as much as possible (e.g., long sleeves, long pants)</w:t>
      </w:r>
    </w:p>
    <w:p w14:paraId="4334AB82" w14:textId="620335F2" w:rsidR="005E16F6" w:rsidRPr="00EF7B33" w:rsidRDefault="005E16F6" w:rsidP="00C1374D">
      <w:pPr>
        <w:pStyle w:val="ListParagraph"/>
        <w:numPr>
          <w:ilvl w:val="0"/>
          <w:numId w:val="12"/>
        </w:numPr>
        <w:rPr>
          <w:rFonts w:ascii="Times New Roman" w:hAnsi="Times New Roman" w:cs="Times New Roman"/>
        </w:rPr>
      </w:pPr>
      <w:r w:rsidRPr="00EF7B33">
        <w:rPr>
          <w:rFonts w:ascii="Times New Roman" w:hAnsi="Times New Roman" w:cs="Times New Roman"/>
        </w:rPr>
        <w:t>Avoid contact with animals, including household pet</w:t>
      </w:r>
      <w:r w:rsidR="00EF7B33" w:rsidRPr="00EF7B33">
        <w:rPr>
          <w:rFonts w:ascii="Times New Roman" w:hAnsi="Times New Roman" w:cs="Times New Roman"/>
        </w:rPr>
        <w:t xml:space="preserve">s. </w:t>
      </w:r>
      <w:r w:rsidRPr="00EF7B33">
        <w:rPr>
          <w:rFonts w:ascii="Times New Roman" w:hAnsi="Times New Roman" w:cs="Times New Roman"/>
        </w:rPr>
        <w:t xml:space="preserve">If possible, ask someone else in the home who is not sick and who has not been exposed to care for the pet. This is especially important for rodents, </w:t>
      </w:r>
      <w:proofErr w:type="gramStart"/>
      <w:r w:rsidRPr="00EF7B33">
        <w:rPr>
          <w:rFonts w:ascii="Times New Roman" w:hAnsi="Times New Roman" w:cs="Times New Roman"/>
        </w:rPr>
        <w:t>rabbits</w:t>
      </w:r>
      <w:proofErr w:type="gramEnd"/>
      <w:r w:rsidRPr="00EF7B33">
        <w:rPr>
          <w:rFonts w:ascii="Times New Roman" w:hAnsi="Times New Roman" w:cs="Times New Roman"/>
        </w:rPr>
        <w:t xml:space="preserve"> and non-human primates.</w:t>
      </w:r>
      <w:r w:rsidR="00EF7B33" w:rsidRPr="00EF7B33">
        <w:rPr>
          <w:rFonts w:ascii="Times New Roman" w:hAnsi="Times New Roman" w:cs="Times New Roman"/>
        </w:rPr>
        <w:t xml:space="preserve"> Otherwise, take precautions such as wearing a medical mask and ensure good hand hygiene.</w:t>
      </w:r>
    </w:p>
    <w:p w14:paraId="6AA2601D" w14:textId="77777777" w:rsidR="00A52AFA" w:rsidRDefault="00A52AFA" w:rsidP="00C1374D"/>
    <w:p w14:paraId="5C1299A5" w14:textId="76CC4E5D" w:rsidR="00C1374D" w:rsidRPr="00C1374D" w:rsidRDefault="00C1374D" w:rsidP="00C1374D">
      <w:r>
        <w:lastRenderedPageBreak/>
        <w:t xml:space="preserve">Public health units will also follow up with cases </w:t>
      </w:r>
      <w:r w:rsidR="005E16F6">
        <w:t xml:space="preserve">to provide guidance about isolation, including identifying potential resources to support self-isolation, and </w:t>
      </w:r>
      <w:r>
        <w:t xml:space="preserve">for contact tracing. </w:t>
      </w:r>
    </w:p>
    <w:p w14:paraId="7C4FB365" w14:textId="77777777" w:rsidR="00C1374D" w:rsidRDefault="00C1374D" w:rsidP="000E5C90">
      <w:pPr>
        <w:pStyle w:val="NormalWeb"/>
        <w:snapToGrid w:val="0"/>
        <w:spacing w:before="0" w:beforeAutospacing="0" w:after="0" w:afterAutospacing="0"/>
      </w:pPr>
    </w:p>
    <w:p w14:paraId="6633E610" w14:textId="76A58433" w:rsidR="00C208D2" w:rsidRPr="00972DA5" w:rsidRDefault="00EF7B33" w:rsidP="00C1374D">
      <w:pPr>
        <w:pStyle w:val="NormalWeb"/>
        <w:numPr>
          <w:ilvl w:val="0"/>
          <w:numId w:val="2"/>
        </w:numPr>
        <w:snapToGrid w:val="0"/>
        <w:spacing w:before="0" w:beforeAutospacing="0" w:after="0" w:afterAutospacing="0"/>
        <w:rPr>
          <w:b/>
          <w:bCs/>
        </w:rPr>
      </w:pPr>
      <w:r w:rsidRPr="00972DA5">
        <w:rPr>
          <w:b/>
          <w:bCs/>
        </w:rPr>
        <w:t>Are there any antiviral medications available for the treatment of monkeypox?</w:t>
      </w:r>
    </w:p>
    <w:p w14:paraId="46CD9270" w14:textId="56E0681C" w:rsidR="00EF7B33" w:rsidRDefault="00EF7B33" w:rsidP="00EF7B33">
      <w:pPr>
        <w:pStyle w:val="NormalWeb"/>
        <w:snapToGrid w:val="0"/>
        <w:spacing w:before="0" w:beforeAutospacing="0" w:after="0" w:afterAutospacing="0"/>
      </w:pPr>
    </w:p>
    <w:p w14:paraId="2AABC985" w14:textId="79539BC7" w:rsidR="00894FB1" w:rsidRPr="00894FB1" w:rsidRDefault="00EF7B33" w:rsidP="00894FB1">
      <w:r w:rsidRPr="00894FB1">
        <w:t xml:space="preserve">Yes, </w:t>
      </w:r>
      <w:proofErr w:type="spellStart"/>
      <w:r w:rsidRPr="00894FB1">
        <w:t>Teco</w:t>
      </w:r>
      <w:r w:rsidR="00894FB1" w:rsidRPr="00894FB1">
        <w:t>virmat</w:t>
      </w:r>
      <w:proofErr w:type="spellEnd"/>
      <w:r w:rsidR="00894FB1" w:rsidRPr="00894FB1">
        <w:t xml:space="preserve"> (</w:t>
      </w:r>
      <w:proofErr w:type="spellStart"/>
      <w:r w:rsidR="00894FB1" w:rsidRPr="00894FB1">
        <w:t>T</w:t>
      </w:r>
      <w:r w:rsidRPr="00894FB1">
        <w:t>Poxx</w:t>
      </w:r>
      <w:proofErr w:type="spellEnd"/>
      <w:r w:rsidRPr="00894FB1">
        <w:t>®</w:t>
      </w:r>
      <w:r w:rsidR="00894FB1" w:rsidRPr="00894FB1">
        <w:t>)</w:t>
      </w:r>
      <w:r w:rsidRPr="00894FB1">
        <w:t xml:space="preserve"> is an antiviral medication that targets and inhibits an orthopoxviral envelope</w:t>
      </w:r>
      <w:r w:rsidR="00894FB1" w:rsidRPr="00894FB1">
        <w:t xml:space="preserve"> </w:t>
      </w:r>
      <w:r w:rsidRPr="00894FB1">
        <w:t>protein required for viral maturation and dissemination</w:t>
      </w:r>
      <w:r w:rsidR="00894FB1" w:rsidRPr="00894FB1">
        <w:t>. It is authorized in Canada for the treatment</w:t>
      </w:r>
      <w:r w:rsidR="00894FB1">
        <w:t xml:space="preserve"> </w:t>
      </w:r>
      <w:r w:rsidR="00894FB1" w:rsidRPr="00894FB1">
        <w:t xml:space="preserve">of human smallpox disease in adults and pediatric patients weighing at least 13 kg based on limited clinical testing in humans. </w:t>
      </w:r>
    </w:p>
    <w:p w14:paraId="4BD1EA32" w14:textId="77777777" w:rsidR="00894FB1" w:rsidRPr="00894FB1" w:rsidRDefault="00894FB1" w:rsidP="00894FB1"/>
    <w:p w14:paraId="2D13DF0A" w14:textId="14DA249A" w:rsidR="00894FB1" w:rsidRPr="00894FB1" w:rsidRDefault="00894FB1" w:rsidP="00894FB1">
      <w:r w:rsidRPr="00894FB1">
        <w:t xml:space="preserve">A limited supply of </w:t>
      </w:r>
      <w:proofErr w:type="spellStart"/>
      <w:r w:rsidRPr="00894FB1">
        <w:t>TPoxx</w:t>
      </w:r>
      <w:proofErr w:type="spellEnd"/>
      <w:r w:rsidRPr="00894FB1">
        <w:t>® is available in Ontario for individuals who are severely ill/disabled due to monkeypox infection or at high risk for severe disease</w:t>
      </w:r>
      <w:r w:rsidR="00972DA5">
        <w:t xml:space="preserve"> off-label</w:t>
      </w:r>
      <w:r w:rsidRPr="00894FB1">
        <w:t xml:space="preserve">. Clinicians can request </w:t>
      </w:r>
      <w:proofErr w:type="spellStart"/>
      <w:r w:rsidRPr="00894FB1">
        <w:t>TPoxx</w:t>
      </w:r>
      <w:proofErr w:type="spellEnd"/>
      <w:r w:rsidRPr="00894FB1">
        <w:t xml:space="preserve">® by contacting the Ministry of Health Emergency Operations Centre (MEOC) at </w:t>
      </w:r>
      <w:hyperlink r:id="rId15" w:history="1">
        <w:r w:rsidR="00972DA5" w:rsidRPr="00211AC7">
          <w:rPr>
            <w:rStyle w:val="Hyperlink"/>
          </w:rPr>
          <w:t>EOCoperations.MOH@ontario.ca</w:t>
        </w:r>
      </w:hyperlink>
      <w:r w:rsidR="00972DA5">
        <w:t xml:space="preserve"> </w:t>
      </w:r>
      <w:r w:rsidRPr="00894FB1">
        <w:t xml:space="preserve">or by calling the Healthcare Provider Hotline at 1-866-212-2272. When contacting MEOC, you should include the exact number of patients that have consented to receive the </w:t>
      </w:r>
      <w:proofErr w:type="spellStart"/>
      <w:r w:rsidRPr="00894FB1">
        <w:t>TPoxx</w:t>
      </w:r>
      <w:proofErr w:type="spellEnd"/>
      <w:r w:rsidRPr="00894FB1">
        <w:t>® treatment as well as their clinical indication.</w:t>
      </w:r>
    </w:p>
    <w:p w14:paraId="7A06E192" w14:textId="767ECFAB" w:rsidR="00EF7B33" w:rsidRPr="00894FB1" w:rsidRDefault="00EF7B33" w:rsidP="00894FB1"/>
    <w:p w14:paraId="2B4552D7" w14:textId="76D5D100" w:rsidR="00972DA5" w:rsidRPr="00972DA5" w:rsidRDefault="00894FB1" w:rsidP="00894FB1">
      <w:proofErr w:type="spellStart"/>
      <w:r w:rsidRPr="00972DA5">
        <w:t>TPoxx</w:t>
      </w:r>
      <w:proofErr w:type="spellEnd"/>
      <w:r w:rsidRPr="00972DA5">
        <w:t xml:space="preserve"> should be considered for the following:</w:t>
      </w:r>
    </w:p>
    <w:p w14:paraId="6958577F" w14:textId="75C4EC95" w:rsidR="00972DA5" w:rsidRPr="00972DA5" w:rsidRDefault="00894FB1" w:rsidP="00972DA5">
      <w:pPr>
        <w:pStyle w:val="ListParagraph"/>
        <w:numPr>
          <w:ilvl w:val="0"/>
          <w:numId w:val="13"/>
        </w:numPr>
        <w:rPr>
          <w:rFonts w:ascii="Times New Roman" w:hAnsi="Times New Roman" w:cs="Times New Roman"/>
        </w:rPr>
      </w:pPr>
      <w:r w:rsidRPr="00972DA5">
        <w:rPr>
          <w:rFonts w:ascii="Times New Roman" w:hAnsi="Times New Roman" w:cs="Times New Roman"/>
        </w:rPr>
        <w:t>Hospitalized patients with severe disease (e.g., hemorrhagic disease, sepsis,</w:t>
      </w:r>
      <w:r w:rsidR="00972DA5" w:rsidRPr="00972DA5">
        <w:rPr>
          <w:rFonts w:ascii="Times New Roman" w:hAnsi="Times New Roman" w:cs="Times New Roman"/>
        </w:rPr>
        <w:t xml:space="preserve"> </w:t>
      </w:r>
      <w:r w:rsidRPr="00972DA5">
        <w:rPr>
          <w:rFonts w:ascii="Times New Roman" w:hAnsi="Times New Roman" w:cs="Times New Roman"/>
        </w:rPr>
        <w:t>encephalitis, myocarditis, or other conditions requiring hospitalization)</w:t>
      </w:r>
    </w:p>
    <w:p w14:paraId="1E2ED0A2" w14:textId="77777777" w:rsidR="00972DA5" w:rsidRPr="00972DA5" w:rsidRDefault="00894FB1" w:rsidP="00972DA5">
      <w:pPr>
        <w:pStyle w:val="ListParagraph"/>
        <w:numPr>
          <w:ilvl w:val="0"/>
          <w:numId w:val="13"/>
        </w:numPr>
        <w:rPr>
          <w:rFonts w:ascii="Times New Roman" w:hAnsi="Times New Roman" w:cs="Times New Roman"/>
        </w:rPr>
      </w:pPr>
      <w:r w:rsidRPr="00972DA5">
        <w:rPr>
          <w:rFonts w:ascii="Times New Roman" w:hAnsi="Times New Roman" w:cs="Times New Roman"/>
        </w:rPr>
        <w:t>Persons who may be at high risk of severe disease:</w:t>
      </w:r>
    </w:p>
    <w:p w14:paraId="6B841A5E" w14:textId="77777777" w:rsidR="00972DA5" w:rsidRPr="00972DA5" w:rsidRDefault="00894FB1" w:rsidP="00972DA5">
      <w:pPr>
        <w:pStyle w:val="ListParagraph"/>
        <w:numPr>
          <w:ilvl w:val="1"/>
          <w:numId w:val="13"/>
        </w:numPr>
        <w:rPr>
          <w:rFonts w:ascii="Times New Roman" w:hAnsi="Times New Roman" w:cs="Times New Roman"/>
        </w:rPr>
      </w:pPr>
      <w:r w:rsidRPr="00972DA5">
        <w:rPr>
          <w:rFonts w:ascii="Times New Roman" w:hAnsi="Times New Roman" w:cs="Times New Roman"/>
        </w:rPr>
        <w:t xml:space="preserve">Persons who are severely immunocompromised (e.g., </w:t>
      </w:r>
      <w:r w:rsidR="00972DA5" w:rsidRPr="00972DA5">
        <w:rPr>
          <w:rFonts w:ascii="Times New Roman" w:hAnsi="Times New Roman" w:cs="Times New Roman"/>
        </w:rPr>
        <w:t>HIV</w:t>
      </w:r>
      <w:r w:rsidRPr="00972DA5">
        <w:rPr>
          <w:rFonts w:ascii="Times New Roman" w:hAnsi="Times New Roman" w:cs="Times New Roman"/>
        </w:rPr>
        <w:t xml:space="preserve"> with CD4 counts &lt;200 or with uncontrolled</w:t>
      </w:r>
      <w:r w:rsidR="00972DA5" w:rsidRPr="00972DA5">
        <w:rPr>
          <w:rFonts w:ascii="Times New Roman" w:hAnsi="Times New Roman" w:cs="Times New Roman"/>
        </w:rPr>
        <w:t xml:space="preserve"> </w:t>
      </w:r>
      <w:r w:rsidRPr="00972DA5">
        <w:rPr>
          <w:rFonts w:ascii="Times New Roman" w:hAnsi="Times New Roman" w:cs="Times New Roman"/>
        </w:rPr>
        <w:t>viral loads, leukemia, lymphoma, generalized malignancy, solid organ</w:t>
      </w:r>
      <w:r w:rsidR="00972DA5" w:rsidRPr="00972DA5">
        <w:rPr>
          <w:rFonts w:ascii="Times New Roman" w:hAnsi="Times New Roman" w:cs="Times New Roman"/>
        </w:rPr>
        <w:t xml:space="preserve"> </w:t>
      </w:r>
      <w:r w:rsidRPr="00972DA5">
        <w:rPr>
          <w:rFonts w:ascii="Times New Roman" w:hAnsi="Times New Roman" w:cs="Times New Roman"/>
        </w:rPr>
        <w:t>transplantation, therapy with alkylating agents, antimetabolites, radiation,</w:t>
      </w:r>
      <w:r w:rsidRPr="00972DA5">
        <w:rPr>
          <w:rFonts w:ascii="Times New Roman" w:hAnsi="Times New Roman" w:cs="Times New Roman"/>
        </w:rPr>
        <w:br/>
        <w:t>tumor necrosis factor inhibitors, high-dose corticosteroids, being a</w:t>
      </w:r>
      <w:r w:rsidR="00972DA5" w:rsidRPr="00972DA5">
        <w:rPr>
          <w:rFonts w:ascii="Times New Roman" w:hAnsi="Times New Roman" w:cs="Times New Roman"/>
        </w:rPr>
        <w:t xml:space="preserve"> </w:t>
      </w:r>
      <w:r w:rsidRPr="00972DA5">
        <w:rPr>
          <w:rFonts w:ascii="Times New Roman" w:hAnsi="Times New Roman" w:cs="Times New Roman"/>
        </w:rPr>
        <w:t>recipient with hematopoietic stem cell transplant (HSCT) &lt;24 months post-transplant or ≥24 months but with graft-versus-host disease or disease</w:t>
      </w:r>
      <w:r w:rsidR="00972DA5" w:rsidRPr="00972DA5">
        <w:rPr>
          <w:rFonts w:ascii="Times New Roman" w:hAnsi="Times New Roman" w:cs="Times New Roman"/>
        </w:rPr>
        <w:t xml:space="preserve"> </w:t>
      </w:r>
      <w:r w:rsidRPr="00972DA5">
        <w:rPr>
          <w:rFonts w:ascii="Times New Roman" w:hAnsi="Times New Roman" w:cs="Times New Roman"/>
        </w:rPr>
        <w:t>relapse, or having autoimmune disease with immunodeficiency as a</w:t>
      </w:r>
      <w:r w:rsidR="00972DA5" w:rsidRPr="00972DA5">
        <w:rPr>
          <w:rFonts w:ascii="Times New Roman" w:hAnsi="Times New Roman" w:cs="Times New Roman"/>
        </w:rPr>
        <w:t xml:space="preserve"> </w:t>
      </w:r>
      <w:r w:rsidRPr="00972DA5">
        <w:rPr>
          <w:rFonts w:ascii="Times New Roman" w:hAnsi="Times New Roman" w:cs="Times New Roman"/>
        </w:rPr>
        <w:t>clinical component);</w:t>
      </w:r>
    </w:p>
    <w:p w14:paraId="38C22373" w14:textId="77777777" w:rsidR="00972DA5" w:rsidRPr="00972DA5" w:rsidRDefault="00894FB1" w:rsidP="00972DA5">
      <w:pPr>
        <w:pStyle w:val="ListParagraph"/>
        <w:numPr>
          <w:ilvl w:val="1"/>
          <w:numId w:val="13"/>
        </w:numPr>
        <w:rPr>
          <w:rFonts w:ascii="Times New Roman" w:hAnsi="Times New Roman" w:cs="Times New Roman"/>
        </w:rPr>
      </w:pPr>
      <w:r w:rsidRPr="00972DA5">
        <w:rPr>
          <w:rFonts w:ascii="Times New Roman" w:hAnsi="Times New Roman" w:cs="Times New Roman"/>
        </w:rPr>
        <w:t>Pediatric populations, particularly patients</w:t>
      </w:r>
      <w:r w:rsidRPr="00972DA5">
        <w:rPr>
          <w:rStyle w:val="markedcontent"/>
          <w:rFonts w:ascii="Times New Roman" w:hAnsi="Times New Roman" w:cs="Times New Roman"/>
        </w:rPr>
        <w:t xml:space="preserve"> younger than 8 years of </w:t>
      </w:r>
      <w:proofErr w:type="gramStart"/>
      <w:r w:rsidRPr="00972DA5">
        <w:rPr>
          <w:rStyle w:val="markedcontent"/>
          <w:rFonts w:ascii="Times New Roman" w:hAnsi="Times New Roman" w:cs="Times New Roman"/>
        </w:rPr>
        <w:t>age</w:t>
      </w:r>
      <w:r w:rsidR="00972DA5" w:rsidRPr="00972DA5">
        <w:rPr>
          <w:rFonts w:ascii="Times New Roman" w:hAnsi="Times New Roman" w:cs="Times New Roman"/>
        </w:rPr>
        <w:t>;</w:t>
      </w:r>
      <w:proofErr w:type="gramEnd"/>
    </w:p>
    <w:p w14:paraId="3EC0CA55" w14:textId="73BE7825" w:rsidR="00972DA5" w:rsidRPr="00972DA5" w:rsidRDefault="00894FB1" w:rsidP="00B54044">
      <w:pPr>
        <w:pStyle w:val="ListParagraph"/>
        <w:numPr>
          <w:ilvl w:val="1"/>
          <w:numId w:val="13"/>
        </w:numPr>
        <w:rPr>
          <w:rStyle w:val="markedcontent"/>
          <w:rFonts w:ascii="Times New Roman" w:hAnsi="Times New Roman" w:cs="Times New Roman"/>
        </w:rPr>
      </w:pPr>
      <w:r w:rsidRPr="00972DA5">
        <w:rPr>
          <w:rStyle w:val="markedcontent"/>
          <w:rFonts w:ascii="Times New Roman" w:hAnsi="Times New Roman" w:cs="Times New Roman"/>
        </w:rPr>
        <w:t>Pregnant or breastfeeding women</w:t>
      </w:r>
      <w:r w:rsidR="00972DA5">
        <w:rPr>
          <w:rStyle w:val="markedcontent"/>
          <w:rFonts w:ascii="Times New Roman" w:hAnsi="Times New Roman" w:cs="Times New Roman"/>
        </w:rPr>
        <w:t>;</w:t>
      </w:r>
      <w:r w:rsidRPr="00972DA5">
        <w:rPr>
          <w:rFonts w:ascii="Times New Roman" w:hAnsi="Times New Roman" w:cs="Times New Roman"/>
        </w:rPr>
        <w:br/>
      </w:r>
      <w:r w:rsidRPr="00972DA5">
        <w:rPr>
          <w:rStyle w:val="markedcontent"/>
          <w:rFonts w:ascii="Times New Roman" w:hAnsi="Times New Roman" w:cs="Times New Roman"/>
        </w:rPr>
        <w:t>Persons with one or more complications (e.g., secondary bacterial skin</w:t>
      </w:r>
      <w:r w:rsidR="00972DA5" w:rsidRPr="00972DA5">
        <w:rPr>
          <w:rStyle w:val="markedcontent"/>
          <w:rFonts w:ascii="Times New Roman" w:hAnsi="Times New Roman" w:cs="Times New Roman"/>
        </w:rPr>
        <w:t xml:space="preserve"> </w:t>
      </w:r>
      <w:r w:rsidRPr="00972DA5">
        <w:rPr>
          <w:rStyle w:val="markedcontent"/>
          <w:rFonts w:ascii="Times New Roman" w:hAnsi="Times New Roman" w:cs="Times New Roman"/>
        </w:rPr>
        <w:t>infection; gastroenteritis with severe nausea/vomiting, diarrhea, or</w:t>
      </w:r>
      <w:r w:rsidR="00972DA5" w:rsidRPr="00972DA5">
        <w:rPr>
          <w:rStyle w:val="markedcontent"/>
          <w:rFonts w:ascii="Times New Roman" w:hAnsi="Times New Roman" w:cs="Times New Roman"/>
        </w:rPr>
        <w:t xml:space="preserve"> </w:t>
      </w:r>
      <w:r w:rsidRPr="00972DA5">
        <w:rPr>
          <w:rStyle w:val="markedcontent"/>
          <w:rFonts w:ascii="Times New Roman" w:hAnsi="Times New Roman" w:cs="Times New Roman"/>
        </w:rPr>
        <w:t xml:space="preserve">dehydration; </w:t>
      </w:r>
      <w:r w:rsidR="00972DA5" w:rsidRPr="00972DA5">
        <w:rPr>
          <w:rStyle w:val="markedcontent"/>
          <w:rFonts w:ascii="Times New Roman" w:hAnsi="Times New Roman" w:cs="Times New Roman"/>
        </w:rPr>
        <w:t>b</w:t>
      </w:r>
      <w:r w:rsidRPr="00972DA5">
        <w:rPr>
          <w:rStyle w:val="markedcontent"/>
          <w:rFonts w:ascii="Times New Roman" w:hAnsi="Times New Roman" w:cs="Times New Roman"/>
        </w:rPr>
        <w:t>ronchopneumonia; concurrent disease or other</w:t>
      </w:r>
      <w:r w:rsidR="00972DA5">
        <w:rPr>
          <w:rStyle w:val="markedcontent"/>
          <w:rFonts w:ascii="Times New Roman" w:hAnsi="Times New Roman" w:cs="Times New Roman"/>
        </w:rPr>
        <w:t xml:space="preserve"> </w:t>
      </w:r>
      <w:r w:rsidRPr="00972DA5">
        <w:rPr>
          <w:rStyle w:val="markedcontent"/>
          <w:rFonts w:ascii="Times New Roman" w:hAnsi="Times New Roman" w:cs="Times New Roman"/>
        </w:rPr>
        <w:t>comorbidities).</w:t>
      </w:r>
    </w:p>
    <w:p w14:paraId="02F0CE4C" w14:textId="608D4BDC" w:rsidR="00894FB1" w:rsidRDefault="00894FB1" w:rsidP="00972DA5">
      <w:pPr>
        <w:pStyle w:val="ListParagraph"/>
        <w:numPr>
          <w:ilvl w:val="0"/>
          <w:numId w:val="13"/>
        </w:numPr>
        <w:rPr>
          <w:rStyle w:val="markedcontent"/>
          <w:rFonts w:ascii="Times New Roman" w:hAnsi="Times New Roman" w:cs="Times New Roman"/>
        </w:rPr>
      </w:pPr>
      <w:r w:rsidRPr="00972DA5">
        <w:rPr>
          <w:rStyle w:val="markedcontent"/>
          <w:rFonts w:ascii="Times New Roman" w:hAnsi="Times New Roman" w:cs="Times New Roman"/>
        </w:rPr>
        <w:t>Persons with monkeypox virus infections with lesions that are leading to</w:t>
      </w:r>
      <w:r w:rsidR="00972DA5" w:rsidRPr="00972DA5">
        <w:rPr>
          <w:rStyle w:val="markedcontent"/>
          <w:rFonts w:ascii="Times New Roman" w:hAnsi="Times New Roman" w:cs="Times New Roman"/>
        </w:rPr>
        <w:t xml:space="preserve"> </w:t>
      </w:r>
      <w:r w:rsidRPr="00972DA5">
        <w:rPr>
          <w:rStyle w:val="markedcontent"/>
          <w:rFonts w:ascii="Times New Roman" w:hAnsi="Times New Roman" w:cs="Times New Roman"/>
        </w:rPr>
        <w:t>significant disability (e.g., proctitis, keratitis or other ocular involvement,</w:t>
      </w:r>
      <w:r w:rsidR="00972DA5" w:rsidRPr="00972DA5">
        <w:rPr>
          <w:rStyle w:val="markedcontent"/>
          <w:rFonts w:ascii="Times New Roman" w:hAnsi="Times New Roman" w:cs="Times New Roman"/>
        </w:rPr>
        <w:t xml:space="preserve"> </w:t>
      </w:r>
      <w:r w:rsidRPr="00972DA5">
        <w:rPr>
          <w:rStyle w:val="markedcontent"/>
          <w:rFonts w:ascii="Times New Roman" w:hAnsi="Times New Roman" w:cs="Times New Roman"/>
        </w:rPr>
        <w:t>pharyngitis/</w:t>
      </w:r>
      <w:proofErr w:type="gramStart"/>
      <w:r w:rsidRPr="00972DA5">
        <w:rPr>
          <w:rStyle w:val="markedcontent"/>
          <w:rFonts w:ascii="Times New Roman" w:hAnsi="Times New Roman" w:cs="Times New Roman"/>
        </w:rPr>
        <w:t>epiglottitis</w:t>
      </w:r>
      <w:proofErr w:type="gramEnd"/>
      <w:r w:rsidRPr="00972DA5">
        <w:rPr>
          <w:rStyle w:val="markedcontent"/>
          <w:rFonts w:ascii="Times New Roman" w:hAnsi="Times New Roman" w:cs="Times New Roman"/>
        </w:rPr>
        <w:t xml:space="preserve"> or other breathing/swallowing compromise).</w:t>
      </w:r>
    </w:p>
    <w:p w14:paraId="27A42B23" w14:textId="2E4E51A9" w:rsidR="00972DA5" w:rsidRDefault="00972DA5" w:rsidP="00972DA5"/>
    <w:p w14:paraId="0779CB6F" w14:textId="61089924" w:rsidR="00894FB1" w:rsidRDefault="00972DA5" w:rsidP="00894FB1">
      <w:r>
        <w:t xml:space="preserve">For more information, refer to the Monkeypox </w:t>
      </w:r>
      <w:r>
        <w:t xml:space="preserve">Antiviral </w:t>
      </w:r>
      <w:r>
        <w:t xml:space="preserve">Guidance Document and Information sheet that are available on the </w:t>
      </w:r>
      <w:hyperlink r:id="rId16" w:history="1">
        <w:r w:rsidRPr="00C208D2">
          <w:rPr>
            <w:rStyle w:val="Hyperlink"/>
          </w:rPr>
          <w:t>Ministry of Health’s website</w:t>
        </w:r>
      </w:hyperlink>
      <w:r>
        <w:t>.</w:t>
      </w:r>
    </w:p>
    <w:p w14:paraId="21E7E275" w14:textId="77777777" w:rsidR="00972DA5" w:rsidRDefault="00972DA5" w:rsidP="00894FB1"/>
    <w:p w14:paraId="5E40BE33" w14:textId="333CCB78" w:rsidR="00C208D2" w:rsidRPr="00C208D2" w:rsidRDefault="00C208D2" w:rsidP="00C208D2">
      <w:pPr>
        <w:pStyle w:val="NormalWeb"/>
        <w:numPr>
          <w:ilvl w:val="0"/>
          <w:numId w:val="2"/>
        </w:numPr>
        <w:snapToGrid w:val="0"/>
        <w:spacing w:before="0" w:beforeAutospacing="0" w:after="0" w:afterAutospacing="0"/>
        <w:rPr>
          <w:b/>
          <w:bCs/>
        </w:rPr>
      </w:pPr>
      <w:r w:rsidRPr="00C208D2">
        <w:rPr>
          <w:b/>
          <w:bCs/>
        </w:rPr>
        <w:t>Is there a vaccine for monkeypox?</w:t>
      </w:r>
    </w:p>
    <w:p w14:paraId="16984564" w14:textId="77777777" w:rsidR="00C208D2" w:rsidRDefault="00C208D2" w:rsidP="000E5C90">
      <w:pPr>
        <w:pStyle w:val="NormalWeb"/>
        <w:snapToGrid w:val="0"/>
        <w:spacing w:before="0" w:beforeAutospacing="0" w:after="0" w:afterAutospacing="0"/>
      </w:pPr>
    </w:p>
    <w:p w14:paraId="7194DBCC" w14:textId="5F7135B6" w:rsidR="00C208D2" w:rsidRDefault="00C208D2" w:rsidP="000E5C90">
      <w:pPr>
        <w:pStyle w:val="NormalWeb"/>
        <w:snapToGrid w:val="0"/>
        <w:spacing w:before="0" w:beforeAutospacing="0" w:after="0" w:afterAutospacing="0"/>
      </w:pPr>
      <w:r>
        <w:t xml:space="preserve">Yes, </w:t>
      </w:r>
      <w:proofErr w:type="spellStart"/>
      <w:r w:rsidR="000E5C90">
        <w:t>Imvamune</w:t>
      </w:r>
      <w:proofErr w:type="spellEnd"/>
      <w:r w:rsidR="000E5C90">
        <w:t xml:space="preserve">® is a live attenuated, non-replicating vaccine that is approved in Canada for protection against smallpox, monkeypox, and other </w:t>
      </w:r>
      <w:proofErr w:type="spellStart"/>
      <w:r w:rsidR="000E5C90">
        <w:t>orthopoxvirus</w:t>
      </w:r>
      <w:proofErr w:type="spellEnd"/>
      <w:r w:rsidR="000E5C90">
        <w:t xml:space="preserve"> related illnesses. </w:t>
      </w:r>
      <w:r>
        <w:t xml:space="preserve">For more information, refer to the Monkeypox Vaccine Guidance Document and Information sheet that are available on the </w:t>
      </w:r>
      <w:hyperlink r:id="rId17" w:history="1">
        <w:r w:rsidRPr="00C208D2">
          <w:rPr>
            <w:rStyle w:val="Hyperlink"/>
          </w:rPr>
          <w:t>Ministry of Health’s website</w:t>
        </w:r>
      </w:hyperlink>
      <w:r>
        <w:t xml:space="preserve">. </w:t>
      </w:r>
    </w:p>
    <w:p w14:paraId="6B1940F2" w14:textId="15267C9C" w:rsidR="00C208D2" w:rsidRDefault="00C208D2" w:rsidP="000E5C90">
      <w:pPr>
        <w:pStyle w:val="NormalWeb"/>
        <w:snapToGrid w:val="0"/>
        <w:spacing w:before="0" w:beforeAutospacing="0" w:after="0" w:afterAutospacing="0"/>
      </w:pPr>
    </w:p>
    <w:p w14:paraId="008718F5" w14:textId="216E0D1B" w:rsidR="00C208D2" w:rsidRPr="00C208D2" w:rsidRDefault="00C208D2" w:rsidP="00C208D2">
      <w:pPr>
        <w:pStyle w:val="NormalWeb"/>
        <w:numPr>
          <w:ilvl w:val="0"/>
          <w:numId w:val="2"/>
        </w:numPr>
        <w:snapToGrid w:val="0"/>
        <w:spacing w:before="0" w:beforeAutospacing="0" w:after="0" w:afterAutospacing="0"/>
        <w:rPr>
          <w:b/>
          <w:bCs/>
        </w:rPr>
      </w:pPr>
      <w:r w:rsidRPr="00C208D2">
        <w:rPr>
          <w:b/>
          <w:bCs/>
        </w:rPr>
        <w:t xml:space="preserve">Who is eligible to receive the </w:t>
      </w:r>
      <w:proofErr w:type="spellStart"/>
      <w:r w:rsidRPr="00C208D2">
        <w:rPr>
          <w:b/>
          <w:bCs/>
        </w:rPr>
        <w:t>Imvamune</w:t>
      </w:r>
      <w:proofErr w:type="spellEnd"/>
      <w:r w:rsidRPr="00C208D2">
        <w:rPr>
          <w:b/>
          <w:bCs/>
        </w:rPr>
        <w:t xml:space="preserve">® </w:t>
      </w:r>
      <w:r w:rsidRPr="00C208D2">
        <w:rPr>
          <w:b/>
          <w:bCs/>
        </w:rPr>
        <w:t>vaccine?</w:t>
      </w:r>
    </w:p>
    <w:p w14:paraId="15F98B18" w14:textId="2159D9BC" w:rsidR="00C208D2" w:rsidRDefault="00C208D2" w:rsidP="00C208D2">
      <w:pPr>
        <w:pStyle w:val="NormalWeb"/>
        <w:snapToGrid w:val="0"/>
        <w:spacing w:before="0" w:beforeAutospacing="0" w:after="0" w:afterAutospacing="0"/>
      </w:pPr>
    </w:p>
    <w:p w14:paraId="7A9FA884" w14:textId="0F39C35A" w:rsidR="000E5C90" w:rsidRDefault="008946BC" w:rsidP="000E5C90">
      <w:pPr>
        <w:pStyle w:val="NormalWeb"/>
        <w:snapToGrid w:val="0"/>
        <w:spacing w:before="0" w:beforeAutospacing="0" w:after="0" w:afterAutospacing="0"/>
      </w:pPr>
      <w:r>
        <w:t xml:space="preserve">There is a limited supply of the </w:t>
      </w:r>
      <w:proofErr w:type="spellStart"/>
      <w:r w:rsidR="00A52AFA" w:rsidRPr="00A52AFA">
        <w:t>Imvamune</w:t>
      </w:r>
      <w:proofErr w:type="spellEnd"/>
      <w:r w:rsidR="00A52AFA" w:rsidRPr="00A52AFA">
        <w:t xml:space="preserve">® </w:t>
      </w:r>
      <w:r>
        <w:t>vaccine in Ontario</w:t>
      </w:r>
      <w:r w:rsidR="00A52AFA">
        <w:t xml:space="preserve"> and they are </w:t>
      </w:r>
      <w:r w:rsidR="00A52AFA" w:rsidRPr="008946BC">
        <w:t>available through local public health units</w:t>
      </w:r>
      <w:r w:rsidR="00A52AFA">
        <w:t>.</w:t>
      </w:r>
      <w:r>
        <w:t xml:space="preserve"> The goal of the vaccination program is to </w:t>
      </w:r>
      <w:r w:rsidR="000E5C90">
        <w:t xml:space="preserve">limit ongoing transmission with the explicit goal of preventing exportation of monkeypox to unaffected areas. This approach is continually being evaluated as the epidemiology evolves and vaccine supply expands. </w:t>
      </w:r>
    </w:p>
    <w:p w14:paraId="2F746489" w14:textId="77777777" w:rsidR="008946BC" w:rsidRDefault="008946BC" w:rsidP="000E5C90">
      <w:pPr>
        <w:pStyle w:val="NormalWeb"/>
        <w:snapToGrid w:val="0"/>
        <w:spacing w:before="0" w:beforeAutospacing="0" w:after="0" w:afterAutospacing="0"/>
      </w:pPr>
    </w:p>
    <w:p w14:paraId="4FF1F897" w14:textId="15BA845B" w:rsidR="000E5C90" w:rsidRDefault="000E5C90" w:rsidP="000E5C90">
      <w:pPr>
        <w:pStyle w:val="NormalWeb"/>
        <w:snapToGrid w:val="0"/>
        <w:spacing w:before="0" w:beforeAutospacing="0" w:after="0" w:afterAutospacing="0"/>
      </w:pPr>
      <w:r>
        <w:t xml:space="preserve">Currently, in Ontario, one dose of </w:t>
      </w:r>
      <w:proofErr w:type="spellStart"/>
      <w:r>
        <w:t>Imvamune</w:t>
      </w:r>
      <w:proofErr w:type="spellEnd"/>
      <w:r>
        <w:t xml:space="preserve">® </w:t>
      </w:r>
      <w:r w:rsidR="00F516E2">
        <w:t>is offered in the following circumstances:</w:t>
      </w:r>
    </w:p>
    <w:p w14:paraId="7B800FC5" w14:textId="36CC5638" w:rsidR="00F516E2" w:rsidRDefault="00F516E2" w:rsidP="00F516E2">
      <w:pPr>
        <w:pStyle w:val="ListParagraph"/>
        <w:numPr>
          <w:ilvl w:val="0"/>
          <w:numId w:val="11"/>
        </w:numPr>
        <w:rPr>
          <w:rFonts w:ascii="Times New Roman" w:hAnsi="Times New Roman" w:cs="Times New Roman"/>
        </w:rPr>
      </w:pPr>
      <w:r w:rsidRPr="008946BC">
        <w:rPr>
          <w:rFonts w:ascii="Times New Roman" w:hAnsi="Times New Roman" w:cs="Times New Roman"/>
          <w:b/>
          <w:bCs/>
        </w:rPr>
        <w:t>Pre-Exposure Prophylaxis (</w:t>
      </w:r>
      <w:proofErr w:type="spellStart"/>
      <w:r w:rsidRPr="008946BC">
        <w:rPr>
          <w:rFonts w:ascii="Times New Roman" w:hAnsi="Times New Roman" w:cs="Times New Roman"/>
          <w:b/>
          <w:bCs/>
        </w:rPr>
        <w:t>PrEP</w:t>
      </w:r>
      <w:proofErr w:type="spellEnd"/>
      <w:r w:rsidRPr="008946BC">
        <w:rPr>
          <w:rFonts w:ascii="Times New Roman" w:hAnsi="Times New Roman" w:cs="Times New Roman"/>
          <w:b/>
          <w:bCs/>
        </w:rPr>
        <w:t>),</w:t>
      </w:r>
      <w:r w:rsidRPr="00F516E2">
        <w:rPr>
          <w:rFonts w:ascii="Times New Roman" w:hAnsi="Times New Roman" w:cs="Times New Roman"/>
        </w:rPr>
        <w:t xml:space="preserve"> which means receiving the vaccine prior to</w:t>
      </w:r>
      <w:r w:rsidRPr="00F516E2">
        <w:rPr>
          <w:rFonts w:ascii="Times New Roman" w:hAnsi="Times New Roman" w:cs="Times New Roman"/>
        </w:rPr>
        <w:br/>
        <w:t>any monkeypox exposure (for those who are likely to be exposed).</w:t>
      </w:r>
      <w:r>
        <w:rPr>
          <w:rFonts w:ascii="Times New Roman" w:hAnsi="Times New Roman" w:cs="Times New Roman"/>
        </w:rPr>
        <w:t xml:space="preserve"> </w:t>
      </w:r>
      <w:r w:rsidR="008946BC">
        <w:rPr>
          <w:rFonts w:ascii="Times New Roman" w:hAnsi="Times New Roman" w:cs="Times New Roman"/>
        </w:rPr>
        <w:t xml:space="preserve">See eligibility criteria below for </w:t>
      </w:r>
      <w:proofErr w:type="spellStart"/>
      <w:r w:rsidR="008946BC">
        <w:rPr>
          <w:rFonts w:ascii="Times New Roman" w:hAnsi="Times New Roman" w:cs="Times New Roman"/>
        </w:rPr>
        <w:t>PrEP.</w:t>
      </w:r>
      <w:proofErr w:type="spellEnd"/>
      <w:r w:rsidRPr="00F516E2">
        <w:rPr>
          <w:rFonts w:ascii="Times New Roman" w:hAnsi="Times New Roman" w:cs="Times New Roman"/>
        </w:rPr>
        <w:br/>
      </w:r>
    </w:p>
    <w:p w14:paraId="3501C6A7" w14:textId="79B0E262" w:rsidR="008946BC" w:rsidRPr="008946BC" w:rsidRDefault="00F516E2" w:rsidP="008946BC">
      <w:pPr>
        <w:pStyle w:val="ListParagraph"/>
        <w:numPr>
          <w:ilvl w:val="0"/>
          <w:numId w:val="11"/>
        </w:numPr>
        <w:rPr>
          <w:rFonts w:ascii="Times New Roman" w:hAnsi="Times New Roman" w:cs="Times New Roman"/>
        </w:rPr>
      </w:pPr>
      <w:r w:rsidRPr="008946BC">
        <w:rPr>
          <w:rFonts w:ascii="Times New Roman" w:hAnsi="Times New Roman" w:cs="Times New Roman"/>
          <w:b/>
          <w:bCs/>
        </w:rPr>
        <w:t>Post-Exposure Prophylaxis (PEP),</w:t>
      </w:r>
      <w:r w:rsidRPr="008946BC">
        <w:rPr>
          <w:rFonts w:ascii="Times New Roman" w:hAnsi="Times New Roman" w:cs="Times New Roman"/>
        </w:rPr>
        <w:t xml:space="preserve"> which means receiving the vaccine after a</w:t>
      </w:r>
      <w:r w:rsidRPr="008946BC">
        <w:rPr>
          <w:rFonts w:ascii="Times New Roman" w:hAnsi="Times New Roman" w:cs="Times New Roman"/>
        </w:rPr>
        <w:br/>
        <w:t xml:space="preserve">potential exposure. </w:t>
      </w:r>
      <w:r w:rsidR="008946BC" w:rsidRPr="008946BC">
        <w:rPr>
          <w:rFonts w:ascii="Times New Roman" w:hAnsi="Times New Roman" w:cs="Times New Roman"/>
        </w:rPr>
        <w:t xml:space="preserve">A single dose of the vaccine should be offered </w:t>
      </w:r>
      <w:r w:rsidR="008946BC">
        <w:rPr>
          <w:rFonts w:ascii="Times New Roman" w:hAnsi="Times New Roman" w:cs="Times New Roman"/>
        </w:rPr>
        <w:t xml:space="preserve">to individuals who have had a </w:t>
      </w:r>
      <w:proofErr w:type="gramStart"/>
      <w:r w:rsidR="008946BC">
        <w:rPr>
          <w:rFonts w:ascii="Times New Roman" w:hAnsi="Times New Roman" w:cs="Times New Roman"/>
        </w:rPr>
        <w:t>high risk</w:t>
      </w:r>
      <w:proofErr w:type="gramEnd"/>
      <w:r w:rsidR="008946BC">
        <w:rPr>
          <w:rFonts w:ascii="Times New Roman" w:hAnsi="Times New Roman" w:cs="Times New Roman"/>
        </w:rPr>
        <w:t xml:space="preserve"> exposure to a confirmed or probable case of monkeypox, </w:t>
      </w:r>
      <w:r w:rsidR="008946BC" w:rsidRPr="008946BC">
        <w:rPr>
          <w:rFonts w:ascii="Times New Roman" w:hAnsi="Times New Roman" w:cs="Times New Roman"/>
        </w:rPr>
        <w:t>ideally within 4 days (up to 14 days) from the date of the last exposure</w:t>
      </w:r>
      <w:r w:rsidRPr="008946BC">
        <w:rPr>
          <w:rFonts w:ascii="Times New Roman" w:hAnsi="Times New Roman" w:cs="Times New Roman"/>
        </w:rPr>
        <w:t>.</w:t>
      </w:r>
      <w:r w:rsidR="008946BC" w:rsidRPr="008946BC">
        <w:rPr>
          <w:rFonts w:ascii="Times New Roman" w:hAnsi="Times New Roman" w:cs="Times New Roman"/>
        </w:rPr>
        <w:t xml:space="preserve"> </w:t>
      </w:r>
      <w:r w:rsidR="008946BC" w:rsidRPr="008946BC">
        <w:rPr>
          <w:rFonts w:ascii="Times New Roman" w:hAnsi="Times New Roman" w:cs="Times New Roman"/>
        </w:rPr>
        <w:t xml:space="preserve">The provision of </w:t>
      </w:r>
      <w:proofErr w:type="spellStart"/>
      <w:r w:rsidR="008946BC" w:rsidRPr="008946BC">
        <w:rPr>
          <w:rFonts w:ascii="Times New Roman" w:hAnsi="Times New Roman" w:cs="Times New Roman"/>
        </w:rPr>
        <w:t>Imvamune</w:t>
      </w:r>
      <w:proofErr w:type="spellEnd"/>
      <w:r w:rsidR="008946BC" w:rsidRPr="008946BC">
        <w:rPr>
          <w:rFonts w:ascii="Times New Roman" w:hAnsi="Times New Roman" w:cs="Times New Roman"/>
        </w:rPr>
        <w:t>® for PEP requires an assessment of the risk of exposure by the public health unit</w:t>
      </w:r>
      <w:r w:rsidR="008946BC" w:rsidRPr="008946BC">
        <w:rPr>
          <w:rFonts w:ascii="Times New Roman" w:hAnsi="Times New Roman" w:cs="Times New Roman"/>
        </w:rPr>
        <w:t xml:space="preserve">. </w:t>
      </w:r>
      <w:r w:rsidR="008946BC" w:rsidRPr="008946BC">
        <w:rPr>
          <w:rFonts w:ascii="Times New Roman" w:hAnsi="Times New Roman" w:cs="Times New Roman"/>
        </w:rPr>
        <w:t xml:space="preserve">Anyone who self-identifies as a contact of a confirmed or probable case of monkeypox should </w:t>
      </w:r>
      <w:r w:rsidR="008946BC">
        <w:rPr>
          <w:rFonts w:ascii="Times New Roman" w:hAnsi="Times New Roman" w:cs="Times New Roman"/>
        </w:rPr>
        <w:t>be encouraged to contact</w:t>
      </w:r>
      <w:r w:rsidR="008946BC" w:rsidRPr="008946BC">
        <w:rPr>
          <w:rFonts w:ascii="Times New Roman" w:hAnsi="Times New Roman" w:cs="Times New Roman"/>
        </w:rPr>
        <w:t xml:space="preserve"> their local public health unit for further assessment to see if PEP would be recommended.</w:t>
      </w:r>
    </w:p>
    <w:p w14:paraId="35D2BF80" w14:textId="71096EA2" w:rsidR="008946BC" w:rsidRDefault="008946BC" w:rsidP="000E5C90">
      <w:pPr>
        <w:pStyle w:val="NormalWeb"/>
        <w:snapToGrid w:val="0"/>
        <w:spacing w:before="0" w:beforeAutospacing="0" w:after="0" w:afterAutospacing="0"/>
      </w:pPr>
    </w:p>
    <w:p w14:paraId="477C4285" w14:textId="77777777" w:rsidR="008946BC" w:rsidRDefault="008946BC" w:rsidP="008946BC">
      <w:pPr>
        <w:pStyle w:val="NormalWeb"/>
        <w:snapToGrid w:val="0"/>
        <w:spacing w:before="0" w:beforeAutospacing="0" w:after="0" w:afterAutospacing="0"/>
      </w:pPr>
      <w:r>
        <w:t xml:space="preserve">Individuals with signs or symptoms of monkeypox infection should not receive the vaccine as the vaccine is not indicated in the treatment of monkeypox infection. </w:t>
      </w:r>
    </w:p>
    <w:p w14:paraId="11E63497" w14:textId="77777777" w:rsidR="008946BC" w:rsidRDefault="008946BC" w:rsidP="000E5C90">
      <w:pPr>
        <w:pStyle w:val="NormalWeb"/>
        <w:snapToGrid w:val="0"/>
        <w:spacing w:before="0" w:beforeAutospacing="0" w:after="0" w:afterAutospacing="0"/>
      </w:pPr>
    </w:p>
    <w:p w14:paraId="18E3429F" w14:textId="244ACEB2" w:rsidR="00F516E2" w:rsidRPr="00A52AFA" w:rsidRDefault="00A52AFA" w:rsidP="00A52AFA">
      <w:pPr>
        <w:pStyle w:val="NormalWeb"/>
        <w:numPr>
          <w:ilvl w:val="0"/>
          <w:numId w:val="2"/>
        </w:numPr>
        <w:snapToGrid w:val="0"/>
        <w:spacing w:before="0" w:beforeAutospacing="0" w:after="0" w:afterAutospacing="0"/>
        <w:rPr>
          <w:b/>
          <w:bCs/>
        </w:rPr>
      </w:pPr>
      <w:r w:rsidRPr="00A52AFA">
        <w:rPr>
          <w:b/>
          <w:bCs/>
        </w:rPr>
        <w:t xml:space="preserve">What </w:t>
      </w:r>
      <w:proofErr w:type="gramStart"/>
      <w:r w:rsidRPr="00A52AFA">
        <w:rPr>
          <w:b/>
          <w:bCs/>
        </w:rPr>
        <w:t>is</w:t>
      </w:r>
      <w:proofErr w:type="gramEnd"/>
      <w:r w:rsidRPr="00A52AFA">
        <w:rPr>
          <w:b/>
          <w:bCs/>
        </w:rPr>
        <w:t xml:space="preserve"> the eligibility criteria for </w:t>
      </w:r>
      <w:proofErr w:type="spellStart"/>
      <w:r w:rsidRPr="00A52AFA">
        <w:rPr>
          <w:b/>
          <w:bCs/>
        </w:rPr>
        <w:t>PrEP</w:t>
      </w:r>
      <w:proofErr w:type="spellEnd"/>
      <w:r w:rsidRPr="00A52AFA">
        <w:rPr>
          <w:b/>
          <w:bCs/>
        </w:rPr>
        <w:t xml:space="preserve"> vaccines for monkeypox?</w:t>
      </w:r>
    </w:p>
    <w:p w14:paraId="1AACDC5A" w14:textId="77777777" w:rsidR="00A52AFA" w:rsidRDefault="00A52AFA" w:rsidP="00A52AFA">
      <w:pPr>
        <w:pStyle w:val="NormalWeb"/>
        <w:snapToGrid w:val="0"/>
        <w:spacing w:before="0" w:beforeAutospacing="0" w:after="0" w:afterAutospacing="0"/>
      </w:pPr>
    </w:p>
    <w:p w14:paraId="64E84340" w14:textId="0825514E" w:rsidR="00A52AFA" w:rsidRPr="00A52AFA" w:rsidRDefault="00A52AFA" w:rsidP="00A52AFA">
      <w:pPr>
        <w:pStyle w:val="NormalWeb"/>
        <w:snapToGrid w:val="0"/>
        <w:spacing w:before="0" w:beforeAutospacing="0" w:after="0" w:afterAutospacing="0"/>
      </w:pPr>
      <w:proofErr w:type="spellStart"/>
      <w:r w:rsidRPr="00A52AFA">
        <w:t>Imvamune</w:t>
      </w:r>
      <w:proofErr w:type="spellEnd"/>
      <w:r w:rsidRPr="00A52AFA">
        <w:t>®</w:t>
      </w:r>
      <w:r w:rsidRPr="00A52AFA">
        <w:t xml:space="preserve"> vaccines are offered for </w:t>
      </w:r>
      <w:proofErr w:type="spellStart"/>
      <w:r w:rsidRPr="00A52AFA">
        <w:t>PrEP</w:t>
      </w:r>
      <w:proofErr w:type="spellEnd"/>
      <w:r w:rsidRPr="00A52AFA">
        <w:t xml:space="preserve"> to the following individuals:</w:t>
      </w:r>
    </w:p>
    <w:p w14:paraId="0B8CEE27" w14:textId="77777777" w:rsidR="00C208D2" w:rsidRDefault="000E5C90" w:rsidP="00A52AFA">
      <w:pPr>
        <w:pStyle w:val="NormalWeb"/>
        <w:numPr>
          <w:ilvl w:val="1"/>
          <w:numId w:val="2"/>
        </w:numPr>
        <w:snapToGrid w:val="0"/>
        <w:spacing w:before="0" w:beforeAutospacing="0" w:after="0" w:afterAutospacing="0"/>
        <w:ind w:left="360"/>
      </w:pPr>
      <w:r>
        <w:t xml:space="preserve">Trans- or cis-gender individuals who self-identify as belonging to the gay, </w:t>
      </w:r>
      <w:proofErr w:type="gramStart"/>
      <w:r>
        <w:t>bisexual</w:t>
      </w:r>
      <w:proofErr w:type="gramEnd"/>
      <w:r>
        <w:t xml:space="preserve"> and other men who have sex with men (</w:t>
      </w:r>
      <w:proofErr w:type="spellStart"/>
      <w:r>
        <w:t>gbMSM</w:t>
      </w:r>
      <w:proofErr w:type="spellEnd"/>
      <w:r>
        <w:t xml:space="preserve">) community AND at least one of the following: </w:t>
      </w:r>
    </w:p>
    <w:p w14:paraId="69FC7E2F" w14:textId="33B6EC1D" w:rsidR="000E5C90" w:rsidRDefault="000E5C90" w:rsidP="00A52AFA">
      <w:pPr>
        <w:pStyle w:val="NormalWeb"/>
        <w:numPr>
          <w:ilvl w:val="2"/>
          <w:numId w:val="9"/>
        </w:numPr>
        <w:snapToGrid w:val="0"/>
        <w:spacing w:before="0" w:beforeAutospacing="0" w:after="0" w:afterAutospacing="0"/>
        <w:ind w:left="1260"/>
      </w:pPr>
      <w:r>
        <w:t xml:space="preserve">Received a diagnosis of a bacterial STI (e.g., chlamydia, gonorrhea, syphilis) in the past two months </w:t>
      </w:r>
    </w:p>
    <w:p w14:paraId="1681BEFF" w14:textId="2FA3D69C" w:rsidR="000E5C90" w:rsidRDefault="000E5C90" w:rsidP="00A52AFA">
      <w:pPr>
        <w:pStyle w:val="NormalWeb"/>
        <w:numPr>
          <w:ilvl w:val="2"/>
          <w:numId w:val="9"/>
        </w:numPr>
        <w:snapToGrid w:val="0"/>
        <w:spacing w:before="0" w:beforeAutospacing="0" w:after="0" w:afterAutospacing="0"/>
        <w:ind w:left="1260"/>
      </w:pPr>
      <w:r>
        <w:t xml:space="preserve">Have had two or more sexual partners within the past 21 days or may be planning to </w:t>
      </w:r>
    </w:p>
    <w:p w14:paraId="4BDF5B94" w14:textId="77777777" w:rsidR="00A52AFA" w:rsidRDefault="000E5C90" w:rsidP="00A52AFA">
      <w:pPr>
        <w:pStyle w:val="NormalWeb"/>
        <w:numPr>
          <w:ilvl w:val="2"/>
          <w:numId w:val="9"/>
        </w:numPr>
        <w:snapToGrid w:val="0"/>
        <w:spacing w:before="0" w:beforeAutospacing="0" w:after="0" w:afterAutospacing="0"/>
        <w:ind w:left="1260"/>
      </w:pPr>
      <w:r>
        <w:t xml:space="preserve">Have attended venues for sexual contact within the past 21 days (i.e., bath houses, sex clubs) or may be planning to, or who work/volunteer in these settings </w:t>
      </w:r>
    </w:p>
    <w:p w14:paraId="5FF8F5BB" w14:textId="77777777" w:rsidR="00A52AFA" w:rsidRDefault="000E5C90" w:rsidP="00A52AFA">
      <w:pPr>
        <w:pStyle w:val="NormalWeb"/>
        <w:numPr>
          <w:ilvl w:val="2"/>
          <w:numId w:val="9"/>
        </w:numPr>
        <w:snapToGrid w:val="0"/>
        <w:spacing w:before="0" w:beforeAutospacing="0" w:after="0" w:afterAutospacing="0"/>
        <w:ind w:left="1260"/>
      </w:pPr>
      <w:r>
        <w:t xml:space="preserve">Have had anonymous sex in the past 21 days (e.g., using hookup apps) or may be planning to </w:t>
      </w:r>
    </w:p>
    <w:p w14:paraId="6857B771" w14:textId="77777777" w:rsidR="00A52AFA" w:rsidRDefault="000E5C90" w:rsidP="00A52AFA">
      <w:pPr>
        <w:pStyle w:val="NormalWeb"/>
        <w:numPr>
          <w:ilvl w:val="2"/>
          <w:numId w:val="9"/>
        </w:numPr>
        <w:snapToGrid w:val="0"/>
        <w:spacing w:before="0" w:beforeAutospacing="0" w:after="0" w:afterAutospacing="0"/>
        <w:ind w:left="1260"/>
      </w:pPr>
      <w:r>
        <w:t xml:space="preserve">Engage in sex work or may be planning to, or are a sexual partner of a sex worker </w:t>
      </w:r>
    </w:p>
    <w:p w14:paraId="5E9674A0" w14:textId="5B7D133B" w:rsidR="000E5C90" w:rsidRDefault="000E5C90" w:rsidP="00A52AFA">
      <w:pPr>
        <w:pStyle w:val="NormalWeb"/>
        <w:numPr>
          <w:ilvl w:val="1"/>
          <w:numId w:val="9"/>
        </w:numPr>
        <w:snapToGrid w:val="0"/>
        <w:spacing w:before="0" w:beforeAutospacing="0" w:after="0" w:afterAutospacing="0"/>
        <w:ind w:left="360"/>
      </w:pPr>
      <w:r>
        <w:t xml:space="preserve">Individuals who are immunocompromised, pregnant, or breastfeeding may be at higher risk for severe illness from a monkeypox infection. These individuals should contact their local public health unit for consideration of </w:t>
      </w:r>
      <w:proofErr w:type="spellStart"/>
      <w:r>
        <w:t>PrEP</w:t>
      </w:r>
      <w:proofErr w:type="spellEnd"/>
      <w:r>
        <w:t xml:space="preserve"> if they are at risk for contracting monkeypox. </w:t>
      </w:r>
    </w:p>
    <w:p w14:paraId="40149845" w14:textId="77777777" w:rsidR="00C208D2" w:rsidRDefault="00C208D2" w:rsidP="000E5C90">
      <w:pPr>
        <w:pStyle w:val="NormalWeb"/>
        <w:snapToGrid w:val="0"/>
        <w:spacing w:before="0" w:beforeAutospacing="0" w:after="0" w:afterAutospacing="0"/>
      </w:pPr>
    </w:p>
    <w:p w14:paraId="56A6027E" w14:textId="61ED1AE8" w:rsidR="000E5C90" w:rsidRPr="00C208D2" w:rsidRDefault="00C208D2" w:rsidP="000E5C90">
      <w:pPr>
        <w:pStyle w:val="NormalWeb"/>
        <w:numPr>
          <w:ilvl w:val="0"/>
          <w:numId w:val="2"/>
        </w:numPr>
        <w:snapToGrid w:val="0"/>
        <w:spacing w:before="0" w:beforeAutospacing="0" w:after="0" w:afterAutospacing="0"/>
        <w:rPr>
          <w:b/>
          <w:bCs/>
        </w:rPr>
      </w:pPr>
      <w:r w:rsidRPr="00C208D2">
        <w:rPr>
          <w:b/>
          <w:bCs/>
        </w:rPr>
        <w:t xml:space="preserve">What are the side effects associated with the </w:t>
      </w:r>
      <w:proofErr w:type="spellStart"/>
      <w:r w:rsidR="000E5C90" w:rsidRPr="00C208D2">
        <w:rPr>
          <w:b/>
          <w:bCs/>
        </w:rPr>
        <w:t>Imvamune</w:t>
      </w:r>
      <w:proofErr w:type="spellEnd"/>
      <w:r w:rsidR="000E5C90" w:rsidRPr="00C208D2">
        <w:rPr>
          <w:b/>
          <w:bCs/>
        </w:rPr>
        <w:t xml:space="preserve">® </w:t>
      </w:r>
      <w:r w:rsidRPr="00C208D2">
        <w:rPr>
          <w:b/>
          <w:bCs/>
        </w:rPr>
        <w:t>vaccine? Who is contraindicated from receiving this vaccine?</w:t>
      </w:r>
    </w:p>
    <w:p w14:paraId="2DD9995A" w14:textId="77777777" w:rsidR="00C208D2" w:rsidRDefault="00C208D2" w:rsidP="000E5C90">
      <w:pPr>
        <w:pStyle w:val="NormalWeb"/>
        <w:snapToGrid w:val="0"/>
        <w:spacing w:before="0" w:beforeAutospacing="0" w:after="0" w:afterAutospacing="0"/>
      </w:pPr>
    </w:p>
    <w:p w14:paraId="2453F159" w14:textId="723D6201" w:rsidR="00C208D2" w:rsidRDefault="00C208D2" w:rsidP="000E5C90">
      <w:pPr>
        <w:pStyle w:val="NormalWeb"/>
        <w:snapToGrid w:val="0"/>
        <w:spacing w:before="0" w:beforeAutospacing="0" w:after="0" w:afterAutospacing="0"/>
      </w:pPr>
      <w:r>
        <w:lastRenderedPageBreak/>
        <w:t xml:space="preserve">The most common side effects include reactions at the injection site like pain, erythema, </w:t>
      </w:r>
      <w:proofErr w:type="gramStart"/>
      <w:r>
        <w:t>induration</w:t>
      </w:r>
      <w:proofErr w:type="gramEnd"/>
      <w:r>
        <w:t xml:space="preserve"> and swelling. The most common systemic reactions observed after vaccination are fatigue, headache, myalgia, and nausea. Most of the reported adverse drug reactions observed in clinical trials were of mild to moderate intensity and resolved within the first seven days following vaccination.</w:t>
      </w:r>
    </w:p>
    <w:p w14:paraId="37E5BF5E" w14:textId="77777777" w:rsidR="00C208D2" w:rsidRDefault="00C208D2" w:rsidP="000E5C90">
      <w:pPr>
        <w:pStyle w:val="NormalWeb"/>
        <w:snapToGrid w:val="0"/>
        <w:spacing w:before="0" w:beforeAutospacing="0" w:after="0" w:afterAutospacing="0"/>
      </w:pPr>
    </w:p>
    <w:p w14:paraId="39BA6FFE" w14:textId="6E32E734" w:rsidR="000E5C90" w:rsidRDefault="000E5C90" w:rsidP="000E5C90">
      <w:pPr>
        <w:pStyle w:val="NormalWeb"/>
        <w:snapToGrid w:val="0"/>
        <w:spacing w:before="0" w:beforeAutospacing="0" w:after="0" w:afterAutospacing="0"/>
      </w:pPr>
      <w:r>
        <w:t xml:space="preserve">Individuals who are hypersensitive to this vaccine or to any ingredient in the formulation or component of the container should not receive the vaccine. A list of ingredients can be found in the product monograph. </w:t>
      </w:r>
    </w:p>
    <w:p w14:paraId="752F0D57" w14:textId="77777777" w:rsidR="00C208D2" w:rsidRDefault="00C208D2" w:rsidP="000E5C90">
      <w:pPr>
        <w:pStyle w:val="NormalWeb"/>
        <w:snapToGrid w:val="0"/>
        <w:spacing w:before="0" w:beforeAutospacing="0" w:after="0" w:afterAutospacing="0"/>
      </w:pPr>
    </w:p>
    <w:p w14:paraId="5491C858" w14:textId="03EB4E7F" w:rsidR="000E5C90" w:rsidRDefault="000E5C90" w:rsidP="000E5C90">
      <w:pPr>
        <w:pStyle w:val="NormalWeb"/>
        <w:snapToGrid w:val="0"/>
        <w:spacing w:before="0" w:beforeAutospacing="0" w:after="0" w:afterAutospacing="0"/>
      </w:pPr>
      <w:r>
        <w:t xml:space="preserve">Older generation (i.e., replicating) smallpox vaccines have been associated with myocarditis. No case of myocarditis or pericarditis was identified in clinical trials of </w:t>
      </w:r>
      <w:proofErr w:type="spellStart"/>
      <w:r>
        <w:t>Imvamune</w:t>
      </w:r>
      <w:proofErr w:type="spellEnd"/>
      <w:r>
        <w:t xml:space="preserve">®, however post market surveillance of vaccine recipients identified cardiac adverse events of special interest (AESIs) including asymptomatic troponin elevation, abnormal ECG findings, tachycardia, and palpitations. Cardiac AESIs were reported to occur in 1.4% (91/6,640) of </w:t>
      </w:r>
      <w:proofErr w:type="spellStart"/>
      <w:r>
        <w:t>Imvamune</w:t>
      </w:r>
      <w:proofErr w:type="spellEnd"/>
      <w:r>
        <w:t xml:space="preserve">® recipients and 0.2% (3/1,206) of placebo recipients who were smallpox </w:t>
      </w:r>
      <w:proofErr w:type="gramStart"/>
      <w:r>
        <w:t>vaccine-naïve</w:t>
      </w:r>
      <w:proofErr w:type="gramEnd"/>
      <w:r>
        <w:t xml:space="preserve">. Individuals should be counselled to seek medical attention if cardiac symptoms (i.e., chest pain, shortness of breath, palpitations) develop following vaccination with </w:t>
      </w:r>
      <w:proofErr w:type="spellStart"/>
      <w:r>
        <w:t>Imvamune</w:t>
      </w:r>
      <w:proofErr w:type="spellEnd"/>
      <w:r>
        <w:t xml:space="preserve">®. </w:t>
      </w:r>
    </w:p>
    <w:p w14:paraId="511B4D00" w14:textId="77777777" w:rsidR="00C208D2" w:rsidRDefault="00C208D2" w:rsidP="000E5C90">
      <w:pPr>
        <w:pStyle w:val="NormalWeb"/>
        <w:snapToGrid w:val="0"/>
        <w:spacing w:before="0" w:beforeAutospacing="0" w:after="0" w:afterAutospacing="0"/>
      </w:pPr>
    </w:p>
    <w:p w14:paraId="0FE16634" w14:textId="3D4E5F25" w:rsidR="000E5C90" w:rsidRDefault="00C208D2" w:rsidP="000E5C90">
      <w:pPr>
        <w:pStyle w:val="NormalWeb"/>
        <w:snapToGrid w:val="0"/>
        <w:spacing w:before="0" w:beforeAutospacing="0" w:after="0" w:afterAutospacing="0"/>
      </w:pPr>
      <w:r>
        <w:t>R</w:t>
      </w:r>
      <w:r w:rsidR="000E5C90">
        <w:t xml:space="preserve">eports of any Adverse Event Following Immunization (AEFI) following </w:t>
      </w:r>
      <w:proofErr w:type="spellStart"/>
      <w:r w:rsidR="000E5C90">
        <w:t>Imvamune</w:t>
      </w:r>
      <w:proofErr w:type="spellEnd"/>
      <w:r w:rsidR="000E5C90">
        <w:t xml:space="preserve">® vaccine should be made using the Ontario AEFI form and sent to the local public health unit. Please see Public Health Ontario’s vaccine safety webpage and Fact Sheet –Adverse Event Following Immunization Reporting for Health Care Providers in Ontario for additional guidance. </w:t>
      </w:r>
    </w:p>
    <w:p w14:paraId="551A895E" w14:textId="0A473FFC" w:rsidR="000E5C90" w:rsidRDefault="000E5C90" w:rsidP="000E5C90">
      <w:pPr>
        <w:pStyle w:val="NormalWeb"/>
        <w:snapToGrid w:val="0"/>
        <w:spacing w:before="0" w:beforeAutospacing="0" w:after="0" w:afterAutospacing="0"/>
      </w:pPr>
      <w:r>
        <w:t xml:space="preserve">Co-Administration of </w:t>
      </w:r>
      <w:proofErr w:type="spellStart"/>
      <w:r>
        <w:t>Imvamune</w:t>
      </w:r>
      <w:proofErr w:type="spellEnd"/>
      <w:r>
        <w:t xml:space="preserve">® </w:t>
      </w:r>
    </w:p>
    <w:p w14:paraId="6A6E50BB" w14:textId="77777777" w:rsidR="00C208D2" w:rsidRDefault="00C208D2" w:rsidP="000E5C90">
      <w:pPr>
        <w:pStyle w:val="NormalWeb"/>
        <w:snapToGrid w:val="0"/>
        <w:spacing w:before="0" w:beforeAutospacing="0" w:after="0" w:afterAutospacing="0"/>
      </w:pPr>
    </w:p>
    <w:p w14:paraId="5EFC55F3" w14:textId="02A4D494" w:rsidR="000E5C90" w:rsidRDefault="000E5C90" w:rsidP="00C208D2">
      <w:pPr>
        <w:pStyle w:val="NormalWeb"/>
        <w:snapToGrid w:val="0"/>
        <w:spacing w:before="0" w:beforeAutospacing="0" w:after="0" w:afterAutospacing="0"/>
      </w:pPr>
      <w:r>
        <w:t xml:space="preserve">Data on co-administration of </w:t>
      </w:r>
      <w:proofErr w:type="spellStart"/>
      <w:r>
        <w:t>Imvamune</w:t>
      </w:r>
      <w:proofErr w:type="spellEnd"/>
      <w:r>
        <w:t xml:space="preserve">® and other vaccines are not available. Therefore, it is recommended to not co-administer </w:t>
      </w:r>
      <w:proofErr w:type="spellStart"/>
      <w:r>
        <w:t>Imvamune</w:t>
      </w:r>
      <w:proofErr w:type="spellEnd"/>
      <w:r>
        <w:t xml:space="preserve">® with other vaccines, and to reschedule any other vaccines until at least 14 days after administration of </w:t>
      </w:r>
      <w:proofErr w:type="spellStart"/>
      <w:r>
        <w:t>Imvamune</w:t>
      </w:r>
      <w:proofErr w:type="spellEnd"/>
      <w:r>
        <w:t xml:space="preserve">®. The administration of </w:t>
      </w:r>
      <w:proofErr w:type="spellStart"/>
      <w:r>
        <w:t>Imvamune</w:t>
      </w:r>
      <w:proofErr w:type="spellEnd"/>
      <w:r>
        <w:t xml:space="preserve">® as post-exposure prophylaxis should not be delayed in an individual who has recently received another vaccine. </w:t>
      </w:r>
    </w:p>
    <w:p w14:paraId="117A4018" w14:textId="77777777" w:rsidR="0045628F" w:rsidRDefault="0045628F" w:rsidP="000E5C90">
      <w:pPr>
        <w:snapToGrid w:val="0"/>
      </w:pPr>
    </w:p>
    <w:sectPr w:rsidR="004562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A87"/>
    <w:multiLevelType w:val="hybridMultilevel"/>
    <w:tmpl w:val="FB8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56ED1"/>
    <w:multiLevelType w:val="hybridMultilevel"/>
    <w:tmpl w:val="EE70E246"/>
    <w:lvl w:ilvl="0" w:tplc="E9EA3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C0534"/>
    <w:multiLevelType w:val="hybridMultilevel"/>
    <w:tmpl w:val="B4EEA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491A00"/>
    <w:multiLevelType w:val="hybridMultilevel"/>
    <w:tmpl w:val="8EA61DAA"/>
    <w:lvl w:ilvl="0" w:tplc="D1E01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375B9"/>
    <w:multiLevelType w:val="hybridMultilevel"/>
    <w:tmpl w:val="E83CD72A"/>
    <w:lvl w:ilvl="0" w:tplc="E8AC91DC">
      <w:start w:val="1"/>
      <w:numFmt w:val="decimal"/>
      <w:lvlText w:val="%1."/>
      <w:lvlJc w:val="left"/>
      <w:pPr>
        <w:ind w:left="360" w:hanging="360"/>
      </w:pPr>
      <w:rPr>
        <w:rFonts w:hint="default"/>
      </w:rPr>
    </w:lvl>
    <w:lvl w:ilvl="1" w:tplc="C714C72C">
      <w:start w:val="1"/>
      <w:numFmt w:val="bullet"/>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7846BF"/>
    <w:multiLevelType w:val="hybridMultilevel"/>
    <w:tmpl w:val="B418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9341E"/>
    <w:multiLevelType w:val="hybridMultilevel"/>
    <w:tmpl w:val="4E86DB18"/>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Times New Roman" w:eastAsia="Times New Roman" w:hAnsi="Times New Roman" w:cs="Times New Roman" w:hint="default"/>
      </w:rPr>
    </w:lvl>
    <w:lvl w:ilvl="2" w:tplc="04090003">
      <w:start w:val="1"/>
      <w:numFmt w:val="bullet"/>
      <w:lvlText w:val="o"/>
      <w:lvlJc w:val="left"/>
      <w:pPr>
        <w:ind w:left="198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21F4127"/>
    <w:multiLevelType w:val="hybridMultilevel"/>
    <w:tmpl w:val="745C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31795E"/>
    <w:multiLevelType w:val="hybridMultilevel"/>
    <w:tmpl w:val="D43A3F96"/>
    <w:lvl w:ilvl="0" w:tplc="E6525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30E17"/>
    <w:multiLevelType w:val="hybridMultilevel"/>
    <w:tmpl w:val="4FB080F4"/>
    <w:lvl w:ilvl="0" w:tplc="B6D21A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E693C"/>
    <w:multiLevelType w:val="hybridMultilevel"/>
    <w:tmpl w:val="7DA8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F0975"/>
    <w:multiLevelType w:val="hybridMultilevel"/>
    <w:tmpl w:val="1C22C0BA"/>
    <w:lvl w:ilvl="0" w:tplc="B6D21A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7F07B2"/>
    <w:multiLevelType w:val="hybridMultilevel"/>
    <w:tmpl w:val="BB1CB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8594780">
    <w:abstractNumId w:val="9"/>
  </w:num>
  <w:num w:numId="2" w16cid:durableId="1608852508">
    <w:abstractNumId w:val="4"/>
  </w:num>
  <w:num w:numId="3" w16cid:durableId="1988700070">
    <w:abstractNumId w:val="7"/>
  </w:num>
  <w:num w:numId="4" w16cid:durableId="1634361906">
    <w:abstractNumId w:val="3"/>
  </w:num>
  <w:num w:numId="5" w16cid:durableId="1658609182">
    <w:abstractNumId w:val="11"/>
  </w:num>
  <w:num w:numId="6" w16cid:durableId="217711939">
    <w:abstractNumId w:val="0"/>
  </w:num>
  <w:num w:numId="7" w16cid:durableId="2054500307">
    <w:abstractNumId w:val="8"/>
  </w:num>
  <w:num w:numId="8" w16cid:durableId="1635329720">
    <w:abstractNumId w:val="2"/>
  </w:num>
  <w:num w:numId="9" w16cid:durableId="774981684">
    <w:abstractNumId w:val="6"/>
  </w:num>
  <w:num w:numId="10" w16cid:durableId="1382241418">
    <w:abstractNumId w:val="10"/>
  </w:num>
  <w:num w:numId="11" w16cid:durableId="473136869">
    <w:abstractNumId w:val="1"/>
  </w:num>
  <w:num w:numId="12" w16cid:durableId="507330425">
    <w:abstractNumId w:val="5"/>
  </w:num>
  <w:num w:numId="13" w16cid:durableId="10521910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90"/>
    <w:rsid w:val="000D3F7A"/>
    <w:rsid w:val="000E5C90"/>
    <w:rsid w:val="00115E62"/>
    <w:rsid w:val="0013499B"/>
    <w:rsid w:val="00174871"/>
    <w:rsid w:val="00213AF3"/>
    <w:rsid w:val="003979F5"/>
    <w:rsid w:val="00411C77"/>
    <w:rsid w:val="004478D0"/>
    <w:rsid w:val="0045628F"/>
    <w:rsid w:val="005E16F6"/>
    <w:rsid w:val="00681957"/>
    <w:rsid w:val="006B4024"/>
    <w:rsid w:val="00706E64"/>
    <w:rsid w:val="0078069F"/>
    <w:rsid w:val="007C68C1"/>
    <w:rsid w:val="008946BC"/>
    <w:rsid w:val="00894FB1"/>
    <w:rsid w:val="00972DA5"/>
    <w:rsid w:val="00A52AFA"/>
    <w:rsid w:val="00A77E3F"/>
    <w:rsid w:val="00AA68FF"/>
    <w:rsid w:val="00C1374D"/>
    <w:rsid w:val="00C208D2"/>
    <w:rsid w:val="00D3397E"/>
    <w:rsid w:val="00D91F7C"/>
    <w:rsid w:val="00E00502"/>
    <w:rsid w:val="00EF7B33"/>
    <w:rsid w:val="00F516E2"/>
    <w:rsid w:val="00F764D8"/>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22F9426"/>
  <w15:chartTrackingRefBased/>
  <w15:docId w15:val="{7BA6A92C-3148-8448-AA64-AD63BA73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DA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5C90"/>
    <w:pPr>
      <w:spacing w:before="100" w:beforeAutospacing="1" w:after="100" w:afterAutospacing="1"/>
    </w:pPr>
  </w:style>
  <w:style w:type="character" w:styleId="Strong">
    <w:name w:val="Strong"/>
    <w:basedOn w:val="DefaultParagraphFont"/>
    <w:uiPriority w:val="22"/>
    <w:qFormat/>
    <w:rsid w:val="000E5C90"/>
    <w:rPr>
      <w:b/>
      <w:bCs/>
    </w:rPr>
  </w:style>
  <w:style w:type="character" w:styleId="Hyperlink">
    <w:name w:val="Hyperlink"/>
    <w:basedOn w:val="DefaultParagraphFont"/>
    <w:uiPriority w:val="99"/>
    <w:unhideWhenUsed/>
    <w:rsid w:val="00213AF3"/>
    <w:rPr>
      <w:color w:val="0563C1" w:themeColor="hyperlink"/>
      <w:u w:val="single"/>
    </w:rPr>
  </w:style>
  <w:style w:type="character" w:styleId="UnresolvedMention">
    <w:name w:val="Unresolved Mention"/>
    <w:basedOn w:val="DefaultParagraphFont"/>
    <w:uiPriority w:val="99"/>
    <w:semiHidden/>
    <w:unhideWhenUsed/>
    <w:rsid w:val="00213AF3"/>
    <w:rPr>
      <w:color w:val="605E5C"/>
      <w:shd w:val="clear" w:color="auto" w:fill="E1DFDD"/>
    </w:rPr>
  </w:style>
  <w:style w:type="character" w:customStyle="1" w:styleId="markedcontent">
    <w:name w:val="markedcontent"/>
    <w:basedOn w:val="DefaultParagraphFont"/>
    <w:rsid w:val="00AA68FF"/>
  </w:style>
  <w:style w:type="paragraph" w:styleId="ListParagraph">
    <w:name w:val="List Paragraph"/>
    <w:basedOn w:val="Normal"/>
    <w:uiPriority w:val="34"/>
    <w:qFormat/>
    <w:rsid w:val="00681957"/>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D91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2548">
      <w:bodyDiv w:val="1"/>
      <w:marLeft w:val="0"/>
      <w:marRight w:val="0"/>
      <w:marTop w:val="0"/>
      <w:marBottom w:val="0"/>
      <w:divBdr>
        <w:top w:val="none" w:sz="0" w:space="0" w:color="auto"/>
        <w:left w:val="none" w:sz="0" w:space="0" w:color="auto"/>
        <w:bottom w:val="none" w:sz="0" w:space="0" w:color="auto"/>
        <w:right w:val="none" w:sz="0" w:space="0" w:color="auto"/>
      </w:divBdr>
    </w:div>
    <w:div w:id="196236963">
      <w:bodyDiv w:val="1"/>
      <w:marLeft w:val="0"/>
      <w:marRight w:val="0"/>
      <w:marTop w:val="0"/>
      <w:marBottom w:val="0"/>
      <w:divBdr>
        <w:top w:val="none" w:sz="0" w:space="0" w:color="auto"/>
        <w:left w:val="none" w:sz="0" w:space="0" w:color="auto"/>
        <w:bottom w:val="none" w:sz="0" w:space="0" w:color="auto"/>
        <w:right w:val="none" w:sz="0" w:space="0" w:color="auto"/>
      </w:divBdr>
    </w:div>
    <w:div w:id="274288452">
      <w:bodyDiv w:val="1"/>
      <w:marLeft w:val="0"/>
      <w:marRight w:val="0"/>
      <w:marTop w:val="0"/>
      <w:marBottom w:val="0"/>
      <w:divBdr>
        <w:top w:val="none" w:sz="0" w:space="0" w:color="auto"/>
        <w:left w:val="none" w:sz="0" w:space="0" w:color="auto"/>
        <w:bottom w:val="none" w:sz="0" w:space="0" w:color="auto"/>
        <w:right w:val="none" w:sz="0" w:space="0" w:color="auto"/>
      </w:divBdr>
    </w:div>
    <w:div w:id="318577876">
      <w:bodyDiv w:val="1"/>
      <w:marLeft w:val="0"/>
      <w:marRight w:val="0"/>
      <w:marTop w:val="0"/>
      <w:marBottom w:val="0"/>
      <w:divBdr>
        <w:top w:val="none" w:sz="0" w:space="0" w:color="auto"/>
        <w:left w:val="none" w:sz="0" w:space="0" w:color="auto"/>
        <w:bottom w:val="none" w:sz="0" w:space="0" w:color="auto"/>
        <w:right w:val="none" w:sz="0" w:space="0" w:color="auto"/>
      </w:divBdr>
    </w:div>
    <w:div w:id="324208938">
      <w:bodyDiv w:val="1"/>
      <w:marLeft w:val="0"/>
      <w:marRight w:val="0"/>
      <w:marTop w:val="0"/>
      <w:marBottom w:val="0"/>
      <w:divBdr>
        <w:top w:val="none" w:sz="0" w:space="0" w:color="auto"/>
        <w:left w:val="none" w:sz="0" w:space="0" w:color="auto"/>
        <w:bottom w:val="none" w:sz="0" w:space="0" w:color="auto"/>
        <w:right w:val="none" w:sz="0" w:space="0" w:color="auto"/>
      </w:divBdr>
    </w:div>
    <w:div w:id="339699536">
      <w:bodyDiv w:val="1"/>
      <w:marLeft w:val="0"/>
      <w:marRight w:val="0"/>
      <w:marTop w:val="0"/>
      <w:marBottom w:val="0"/>
      <w:divBdr>
        <w:top w:val="none" w:sz="0" w:space="0" w:color="auto"/>
        <w:left w:val="none" w:sz="0" w:space="0" w:color="auto"/>
        <w:bottom w:val="none" w:sz="0" w:space="0" w:color="auto"/>
        <w:right w:val="none" w:sz="0" w:space="0" w:color="auto"/>
      </w:divBdr>
    </w:div>
    <w:div w:id="395475542">
      <w:bodyDiv w:val="1"/>
      <w:marLeft w:val="0"/>
      <w:marRight w:val="0"/>
      <w:marTop w:val="0"/>
      <w:marBottom w:val="0"/>
      <w:divBdr>
        <w:top w:val="none" w:sz="0" w:space="0" w:color="auto"/>
        <w:left w:val="none" w:sz="0" w:space="0" w:color="auto"/>
        <w:bottom w:val="none" w:sz="0" w:space="0" w:color="auto"/>
        <w:right w:val="none" w:sz="0" w:space="0" w:color="auto"/>
      </w:divBdr>
    </w:div>
    <w:div w:id="632517449">
      <w:bodyDiv w:val="1"/>
      <w:marLeft w:val="0"/>
      <w:marRight w:val="0"/>
      <w:marTop w:val="0"/>
      <w:marBottom w:val="0"/>
      <w:divBdr>
        <w:top w:val="none" w:sz="0" w:space="0" w:color="auto"/>
        <w:left w:val="none" w:sz="0" w:space="0" w:color="auto"/>
        <w:bottom w:val="none" w:sz="0" w:space="0" w:color="auto"/>
        <w:right w:val="none" w:sz="0" w:space="0" w:color="auto"/>
      </w:divBdr>
    </w:div>
    <w:div w:id="654457077">
      <w:bodyDiv w:val="1"/>
      <w:marLeft w:val="0"/>
      <w:marRight w:val="0"/>
      <w:marTop w:val="0"/>
      <w:marBottom w:val="0"/>
      <w:divBdr>
        <w:top w:val="none" w:sz="0" w:space="0" w:color="auto"/>
        <w:left w:val="none" w:sz="0" w:space="0" w:color="auto"/>
        <w:bottom w:val="none" w:sz="0" w:space="0" w:color="auto"/>
        <w:right w:val="none" w:sz="0" w:space="0" w:color="auto"/>
      </w:divBdr>
    </w:div>
    <w:div w:id="676613340">
      <w:bodyDiv w:val="1"/>
      <w:marLeft w:val="0"/>
      <w:marRight w:val="0"/>
      <w:marTop w:val="0"/>
      <w:marBottom w:val="0"/>
      <w:divBdr>
        <w:top w:val="none" w:sz="0" w:space="0" w:color="auto"/>
        <w:left w:val="none" w:sz="0" w:space="0" w:color="auto"/>
        <w:bottom w:val="none" w:sz="0" w:space="0" w:color="auto"/>
        <w:right w:val="none" w:sz="0" w:space="0" w:color="auto"/>
      </w:divBdr>
    </w:div>
    <w:div w:id="706829330">
      <w:bodyDiv w:val="1"/>
      <w:marLeft w:val="0"/>
      <w:marRight w:val="0"/>
      <w:marTop w:val="0"/>
      <w:marBottom w:val="0"/>
      <w:divBdr>
        <w:top w:val="none" w:sz="0" w:space="0" w:color="auto"/>
        <w:left w:val="none" w:sz="0" w:space="0" w:color="auto"/>
        <w:bottom w:val="none" w:sz="0" w:space="0" w:color="auto"/>
        <w:right w:val="none" w:sz="0" w:space="0" w:color="auto"/>
      </w:divBdr>
    </w:div>
    <w:div w:id="726221743">
      <w:bodyDiv w:val="1"/>
      <w:marLeft w:val="0"/>
      <w:marRight w:val="0"/>
      <w:marTop w:val="0"/>
      <w:marBottom w:val="0"/>
      <w:divBdr>
        <w:top w:val="none" w:sz="0" w:space="0" w:color="auto"/>
        <w:left w:val="none" w:sz="0" w:space="0" w:color="auto"/>
        <w:bottom w:val="none" w:sz="0" w:space="0" w:color="auto"/>
        <w:right w:val="none" w:sz="0" w:space="0" w:color="auto"/>
      </w:divBdr>
    </w:div>
    <w:div w:id="746264998">
      <w:bodyDiv w:val="1"/>
      <w:marLeft w:val="0"/>
      <w:marRight w:val="0"/>
      <w:marTop w:val="0"/>
      <w:marBottom w:val="0"/>
      <w:divBdr>
        <w:top w:val="none" w:sz="0" w:space="0" w:color="auto"/>
        <w:left w:val="none" w:sz="0" w:space="0" w:color="auto"/>
        <w:bottom w:val="none" w:sz="0" w:space="0" w:color="auto"/>
        <w:right w:val="none" w:sz="0" w:space="0" w:color="auto"/>
      </w:divBdr>
    </w:div>
    <w:div w:id="895091872">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1013456133">
      <w:bodyDiv w:val="1"/>
      <w:marLeft w:val="0"/>
      <w:marRight w:val="0"/>
      <w:marTop w:val="0"/>
      <w:marBottom w:val="0"/>
      <w:divBdr>
        <w:top w:val="none" w:sz="0" w:space="0" w:color="auto"/>
        <w:left w:val="none" w:sz="0" w:space="0" w:color="auto"/>
        <w:bottom w:val="none" w:sz="0" w:space="0" w:color="auto"/>
        <w:right w:val="none" w:sz="0" w:space="0" w:color="auto"/>
      </w:divBdr>
    </w:div>
    <w:div w:id="1040596217">
      <w:bodyDiv w:val="1"/>
      <w:marLeft w:val="0"/>
      <w:marRight w:val="0"/>
      <w:marTop w:val="0"/>
      <w:marBottom w:val="0"/>
      <w:divBdr>
        <w:top w:val="none" w:sz="0" w:space="0" w:color="auto"/>
        <w:left w:val="none" w:sz="0" w:space="0" w:color="auto"/>
        <w:bottom w:val="none" w:sz="0" w:space="0" w:color="auto"/>
        <w:right w:val="none" w:sz="0" w:space="0" w:color="auto"/>
      </w:divBdr>
    </w:div>
    <w:div w:id="1086539294">
      <w:bodyDiv w:val="1"/>
      <w:marLeft w:val="0"/>
      <w:marRight w:val="0"/>
      <w:marTop w:val="0"/>
      <w:marBottom w:val="0"/>
      <w:divBdr>
        <w:top w:val="none" w:sz="0" w:space="0" w:color="auto"/>
        <w:left w:val="none" w:sz="0" w:space="0" w:color="auto"/>
        <w:bottom w:val="none" w:sz="0" w:space="0" w:color="auto"/>
        <w:right w:val="none" w:sz="0" w:space="0" w:color="auto"/>
      </w:divBdr>
    </w:div>
    <w:div w:id="1152409397">
      <w:bodyDiv w:val="1"/>
      <w:marLeft w:val="0"/>
      <w:marRight w:val="0"/>
      <w:marTop w:val="0"/>
      <w:marBottom w:val="0"/>
      <w:divBdr>
        <w:top w:val="none" w:sz="0" w:space="0" w:color="auto"/>
        <w:left w:val="none" w:sz="0" w:space="0" w:color="auto"/>
        <w:bottom w:val="none" w:sz="0" w:space="0" w:color="auto"/>
        <w:right w:val="none" w:sz="0" w:space="0" w:color="auto"/>
      </w:divBdr>
    </w:div>
    <w:div w:id="1209605307">
      <w:bodyDiv w:val="1"/>
      <w:marLeft w:val="0"/>
      <w:marRight w:val="0"/>
      <w:marTop w:val="0"/>
      <w:marBottom w:val="0"/>
      <w:divBdr>
        <w:top w:val="none" w:sz="0" w:space="0" w:color="auto"/>
        <w:left w:val="none" w:sz="0" w:space="0" w:color="auto"/>
        <w:bottom w:val="none" w:sz="0" w:space="0" w:color="auto"/>
        <w:right w:val="none" w:sz="0" w:space="0" w:color="auto"/>
      </w:divBdr>
    </w:div>
    <w:div w:id="1284581435">
      <w:bodyDiv w:val="1"/>
      <w:marLeft w:val="0"/>
      <w:marRight w:val="0"/>
      <w:marTop w:val="0"/>
      <w:marBottom w:val="0"/>
      <w:divBdr>
        <w:top w:val="none" w:sz="0" w:space="0" w:color="auto"/>
        <w:left w:val="none" w:sz="0" w:space="0" w:color="auto"/>
        <w:bottom w:val="none" w:sz="0" w:space="0" w:color="auto"/>
        <w:right w:val="none" w:sz="0" w:space="0" w:color="auto"/>
      </w:divBdr>
    </w:div>
    <w:div w:id="1285043349">
      <w:bodyDiv w:val="1"/>
      <w:marLeft w:val="0"/>
      <w:marRight w:val="0"/>
      <w:marTop w:val="0"/>
      <w:marBottom w:val="0"/>
      <w:divBdr>
        <w:top w:val="none" w:sz="0" w:space="0" w:color="auto"/>
        <w:left w:val="none" w:sz="0" w:space="0" w:color="auto"/>
        <w:bottom w:val="none" w:sz="0" w:space="0" w:color="auto"/>
        <w:right w:val="none" w:sz="0" w:space="0" w:color="auto"/>
      </w:divBdr>
    </w:div>
    <w:div w:id="1454522891">
      <w:bodyDiv w:val="1"/>
      <w:marLeft w:val="0"/>
      <w:marRight w:val="0"/>
      <w:marTop w:val="0"/>
      <w:marBottom w:val="0"/>
      <w:divBdr>
        <w:top w:val="none" w:sz="0" w:space="0" w:color="auto"/>
        <w:left w:val="none" w:sz="0" w:space="0" w:color="auto"/>
        <w:bottom w:val="none" w:sz="0" w:space="0" w:color="auto"/>
        <w:right w:val="none" w:sz="0" w:space="0" w:color="auto"/>
      </w:divBdr>
    </w:div>
    <w:div w:id="1512531562">
      <w:bodyDiv w:val="1"/>
      <w:marLeft w:val="0"/>
      <w:marRight w:val="0"/>
      <w:marTop w:val="0"/>
      <w:marBottom w:val="0"/>
      <w:divBdr>
        <w:top w:val="none" w:sz="0" w:space="0" w:color="auto"/>
        <w:left w:val="none" w:sz="0" w:space="0" w:color="auto"/>
        <w:bottom w:val="none" w:sz="0" w:space="0" w:color="auto"/>
        <w:right w:val="none" w:sz="0" w:space="0" w:color="auto"/>
      </w:divBdr>
    </w:div>
    <w:div w:id="1560247540">
      <w:bodyDiv w:val="1"/>
      <w:marLeft w:val="0"/>
      <w:marRight w:val="0"/>
      <w:marTop w:val="0"/>
      <w:marBottom w:val="0"/>
      <w:divBdr>
        <w:top w:val="none" w:sz="0" w:space="0" w:color="auto"/>
        <w:left w:val="none" w:sz="0" w:space="0" w:color="auto"/>
        <w:bottom w:val="none" w:sz="0" w:space="0" w:color="auto"/>
        <w:right w:val="none" w:sz="0" w:space="0" w:color="auto"/>
      </w:divBdr>
    </w:div>
    <w:div w:id="1786582745">
      <w:bodyDiv w:val="1"/>
      <w:marLeft w:val="0"/>
      <w:marRight w:val="0"/>
      <w:marTop w:val="0"/>
      <w:marBottom w:val="0"/>
      <w:divBdr>
        <w:top w:val="none" w:sz="0" w:space="0" w:color="auto"/>
        <w:left w:val="none" w:sz="0" w:space="0" w:color="auto"/>
        <w:bottom w:val="none" w:sz="0" w:space="0" w:color="auto"/>
        <w:right w:val="none" w:sz="0" w:space="0" w:color="auto"/>
      </w:divBdr>
    </w:div>
    <w:div w:id="1853177968">
      <w:bodyDiv w:val="1"/>
      <w:marLeft w:val="0"/>
      <w:marRight w:val="0"/>
      <w:marTop w:val="0"/>
      <w:marBottom w:val="0"/>
      <w:divBdr>
        <w:top w:val="none" w:sz="0" w:space="0" w:color="auto"/>
        <w:left w:val="none" w:sz="0" w:space="0" w:color="auto"/>
        <w:bottom w:val="none" w:sz="0" w:space="0" w:color="auto"/>
        <w:right w:val="none" w:sz="0" w:space="0" w:color="auto"/>
      </w:divBdr>
    </w:div>
    <w:div w:id="19545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society.org/public-health/monkeypox/" TargetMode="External"/><Relationship Id="rId13" Type="http://schemas.openxmlformats.org/officeDocument/2006/relationships/hyperlink" Target="https://www.publichealthontario.ca/en/laboratory-services/test-information-index/monkeypox-vir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ublichealthontario.ca/-/media/documents/9/2008/4-moments-poster-series.pdf?la=en" TargetMode="External"/><Relationship Id="rId12" Type="http://schemas.openxmlformats.org/officeDocument/2006/relationships/hyperlink" Target="https://tc.canada.ca/en/dangerous-goods/shipping-infectious-substances#packaging" TargetMode="External"/><Relationship Id="rId17" Type="http://schemas.openxmlformats.org/officeDocument/2006/relationships/hyperlink" Target="https://www.health.gov.on.ca/en/pro/programs/emb/monkeypox.aspx" TargetMode="External"/><Relationship Id="rId2" Type="http://schemas.openxmlformats.org/officeDocument/2006/relationships/styles" Target="styles.xml"/><Relationship Id="rId16" Type="http://schemas.openxmlformats.org/officeDocument/2006/relationships/hyperlink" Target="https://www.health.gov.on.ca/en/pro/programs/emb/monkeypox.aspx" TargetMode="External"/><Relationship Id="rId1" Type="http://schemas.openxmlformats.org/officeDocument/2006/relationships/numbering" Target="numbering.xml"/><Relationship Id="rId6" Type="http://schemas.openxmlformats.org/officeDocument/2006/relationships/hyperlink" Target="https://www.cdc.gov/poxvirus/monkeypox/transmission.html" TargetMode="External"/><Relationship Id="rId11" Type="http://schemas.openxmlformats.org/officeDocument/2006/relationships/hyperlink" Target="https://tc.canada.ca/en/dangerous-goods/temporary-certificates/temporary-certificate-tu-0886-monkeypox-samples" TargetMode="External"/><Relationship Id="rId5" Type="http://schemas.openxmlformats.org/officeDocument/2006/relationships/hyperlink" Target="https://www.who.int/emergencies/disease-outbreak-news/item/2022-DON396" TargetMode="External"/><Relationship Id="rId15" Type="http://schemas.openxmlformats.org/officeDocument/2006/relationships/hyperlink" Target="mailto:EOCoperations.MOH@ontario.ca" TargetMode="External"/><Relationship Id="rId10" Type="http://schemas.openxmlformats.org/officeDocument/2006/relationships/hyperlink" Target="https://www.publichealthontario.ca/en/laboratory-services/test-information-index/monkeypox-vir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ublichealthontario.ca/-/media/Documents/M/2020/monkeypox-ipac-recommendations-healthcare-settings.pdf?sc_lang=en" TargetMode="External"/><Relationship Id="rId14" Type="http://schemas.openxmlformats.org/officeDocument/2006/relationships/hyperlink" Target="https://www.phdapps.health.gov.on.ca/phu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Choi</dc:creator>
  <cp:keywords/>
  <dc:description/>
  <cp:lastModifiedBy>Mary Choi</cp:lastModifiedBy>
  <cp:revision>3</cp:revision>
  <dcterms:created xsi:type="dcterms:W3CDTF">2022-07-11T16:14:00Z</dcterms:created>
  <dcterms:modified xsi:type="dcterms:W3CDTF">2022-07-11T19:28:00Z</dcterms:modified>
</cp:coreProperties>
</file>