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2B08" w14:textId="3EE3F567" w:rsidR="003E3A2C" w:rsidRPr="001224C1" w:rsidRDefault="00963008" w:rsidP="00816B56">
      <w:pPr>
        <w:spacing w:after="0"/>
        <w:rPr>
          <w:rFonts w:cstheme="minorHAnsi"/>
          <w:b/>
          <w:bCs/>
        </w:rPr>
      </w:pPr>
      <w:r w:rsidRPr="001224C1">
        <w:rPr>
          <w:rFonts w:cstheme="minorHAnsi"/>
          <w:b/>
        </w:rPr>
        <w:t>Fiche de renseignements : Troisième dose et dose de rappel des vaccins contre la COVID-19 pour les personnes admissibles qui sont modérément à gravement immunodéprimées</w:t>
      </w:r>
    </w:p>
    <w:p w14:paraId="31198627" w14:textId="77777777" w:rsidR="00286DBB" w:rsidRPr="001224C1" w:rsidRDefault="00286DBB" w:rsidP="00816B56">
      <w:pPr>
        <w:rPr>
          <w:rFonts w:cstheme="minorHAnsi"/>
          <w:b/>
          <w:bCs/>
        </w:rPr>
      </w:pPr>
    </w:p>
    <w:p w14:paraId="405070FA" w14:textId="5A0F4E13" w:rsidR="003C60DC" w:rsidRPr="001224C1" w:rsidRDefault="003C60DC" w:rsidP="00816B56">
      <w:pPr>
        <w:pStyle w:val="NormalWeb"/>
        <w:pBdr>
          <w:top w:val="single" w:sz="4" w:space="1" w:color="auto"/>
          <w:left w:val="single" w:sz="4" w:space="4" w:color="auto"/>
          <w:bottom w:val="single" w:sz="4" w:space="1" w:color="auto"/>
          <w:right w:val="single" w:sz="4" w:space="4" w:color="auto"/>
        </w:pBdr>
        <w:shd w:val="clear" w:color="auto" w:fill="000000" w:themeFill="text1"/>
        <w:spacing w:before="120" w:beforeAutospacing="0" w:line="276" w:lineRule="auto"/>
        <w:rPr>
          <w:rFonts w:asciiTheme="minorHAnsi" w:hAnsiTheme="minorHAnsi" w:cstheme="minorHAnsi"/>
          <w:b/>
          <w:bCs/>
          <w:color w:val="FFFFFF" w:themeColor="background1"/>
        </w:rPr>
      </w:pPr>
      <w:r w:rsidRPr="001224C1">
        <w:rPr>
          <w:rFonts w:asciiTheme="minorHAnsi" w:hAnsiTheme="minorHAnsi" w:cstheme="minorHAnsi"/>
          <w:b/>
          <w:color w:val="FFFFFF" w:themeColor="background1"/>
        </w:rPr>
        <w:t>Messages clés</w:t>
      </w:r>
    </w:p>
    <w:p w14:paraId="45173FAB" w14:textId="6FD68C59" w:rsidR="00523F92" w:rsidRPr="001224C1" w:rsidRDefault="0036309D" w:rsidP="008A672D">
      <w:pPr>
        <w:pStyle w:val="NormalWeb"/>
        <w:numPr>
          <w:ilvl w:val="0"/>
          <w:numId w:val="9"/>
        </w:numPr>
        <w:shd w:val="clear" w:color="auto" w:fill="FFFFFF" w:themeFill="background1"/>
        <w:spacing w:before="0" w:beforeAutospacing="0" w:after="120" w:afterAutospacing="0" w:line="276" w:lineRule="auto"/>
        <w:ind w:hanging="357"/>
        <w:rPr>
          <w:rFonts w:asciiTheme="minorHAnsi" w:hAnsiTheme="minorHAnsi" w:cstheme="minorHAnsi"/>
          <w:color w:val="1A1A1A"/>
        </w:rPr>
      </w:pPr>
      <w:r w:rsidRPr="001224C1">
        <w:rPr>
          <w:rFonts w:asciiTheme="minorHAnsi" w:hAnsiTheme="minorHAnsi" w:cstheme="minorHAnsi"/>
        </w:rPr>
        <w:t>Les personnes admissibles qui sont modérément à gravement immunodéprimées devraient recevoir une</w:t>
      </w:r>
      <w:r w:rsidR="005B1715" w:rsidRPr="001224C1">
        <w:rPr>
          <w:rFonts w:asciiTheme="minorHAnsi" w:hAnsiTheme="minorHAnsi" w:cstheme="minorHAnsi"/>
        </w:rPr>
        <w:t xml:space="preserve"> </w:t>
      </w:r>
      <w:r w:rsidRPr="001224C1">
        <w:rPr>
          <w:rFonts w:asciiTheme="minorHAnsi" w:hAnsiTheme="minorHAnsi" w:cstheme="minorHAnsi"/>
          <w:b/>
          <w:color w:val="1A1A1A"/>
        </w:rPr>
        <w:t>troisième dose</w:t>
      </w:r>
      <w:r w:rsidRPr="001224C1">
        <w:rPr>
          <w:rFonts w:asciiTheme="minorHAnsi" w:hAnsiTheme="minorHAnsi" w:cstheme="minorHAnsi"/>
          <w:color w:val="1A1A1A"/>
        </w:rPr>
        <w:t xml:space="preserve"> d’un vaccin contre la COVID-19 huit semaines (56 jours) après avoir reçu leur deuxième dose dans le cadre d’une série primaire étendue. Ceci inclut les enfants de cinq à onze ans admissibles.</w:t>
      </w:r>
    </w:p>
    <w:p w14:paraId="27F25C23" w14:textId="560702D0" w:rsidR="00523F92" w:rsidRPr="001224C1" w:rsidRDefault="00683371" w:rsidP="02CFB7D0">
      <w:pPr>
        <w:pStyle w:val="NormalWeb"/>
        <w:numPr>
          <w:ilvl w:val="0"/>
          <w:numId w:val="9"/>
        </w:numPr>
        <w:shd w:val="clear" w:color="auto" w:fill="FFFFFF" w:themeFill="background1"/>
        <w:spacing w:before="0" w:beforeAutospacing="0" w:after="120" w:afterAutospacing="0" w:line="276" w:lineRule="auto"/>
        <w:ind w:hanging="357"/>
        <w:rPr>
          <w:rFonts w:asciiTheme="minorHAnsi" w:hAnsiTheme="minorHAnsi" w:cstheme="minorHAnsi"/>
          <w:color w:val="1A1A1A"/>
        </w:rPr>
      </w:pPr>
      <w:r w:rsidRPr="001224C1">
        <w:rPr>
          <w:rFonts w:asciiTheme="minorHAnsi" w:hAnsiTheme="minorHAnsi" w:cstheme="minorHAnsi"/>
        </w:rPr>
        <w:t xml:space="preserve">Les personnes de 12 ans et plus qui ont reçu une série primaire de trois doses devraient recevoir une </w:t>
      </w:r>
      <w:r w:rsidRPr="001224C1">
        <w:rPr>
          <w:rFonts w:asciiTheme="minorHAnsi" w:hAnsiTheme="minorHAnsi" w:cstheme="minorHAnsi"/>
          <w:b/>
        </w:rPr>
        <w:t>première dose de rappel</w:t>
      </w:r>
      <w:r w:rsidRPr="001224C1">
        <w:rPr>
          <w:rFonts w:asciiTheme="minorHAnsi" w:hAnsiTheme="minorHAnsi" w:cstheme="minorHAnsi"/>
        </w:rPr>
        <w:t xml:space="preserve"> à la suite de leur </w:t>
      </w:r>
      <w:bookmarkStart w:id="0" w:name="_Hlk101947647"/>
      <w:r w:rsidRPr="001224C1">
        <w:rPr>
          <w:rFonts w:asciiTheme="minorHAnsi" w:hAnsiTheme="minorHAnsi" w:cstheme="minorHAnsi"/>
        </w:rPr>
        <w:t>troisième dose :</w:t>
      </w:r>
    </w:p>
    <w:p w14:paraId="17C57C77" w14:textId="63BA73F5" w:rsidR="00523F92" w:rsidRPr="001224C1" w:rsidRDefault="00523F92" w:rsidP="00FF2991">
      <w:pPr>
        <w:numPr>
          <w:ilvl w:val="1"/>
          <w:numId w:val="9"/>
        </w:numPr>
        <w:shd w:val="clear" w:color="auto" w:fill="FFFFFF"/>
        <w:spacing w:after="120"/>
        <w:ind w:hanging="357"/>
        <w:rPr>
          <w:rFonts w:cstheme="minorHAnsi"/>
          <w:color w:val="1A1A1A"/>
        </w:rPr>
      </w:pPr>
      <w:proofErr w:type="gramStart"/>
      <w:r w:rsidRPr="001224C1">
        <w:rPr>
          <w:rFonts w:cstheme="minorHAnsi"/>
        </w:rPr>
        <w:t>les</w:t>
      </w:r>
      <w:proofErr w:type="gramEnd"/>
      <w:r w:rsidRPr="001224C1">
        <w:rPr>
          <w:rFonts w:cstheme="minorHAnsi"/>
        </w:rPr>
        <w:t xml:space="preserve"> jeunes âgés de 12 à 17 ans peuvent obtenir une première dose de </w:t>
      </w:r>
      <w:bookmarkEnd w:id="0"/>
      <w:r w:rsidRPr="001224C1">
        <w:rPr>
          <w:rFonts w:cstheme="minorHAnsi"/>
        </w:rPr>
        <w:t>rappel six mois (168 jours) après la fin de la série primaire de trois doses;</w:t>
      </w:r>
    </w:p>
    <w:p w14:paraId="0E449B3A" w14:textId="7A3FE2B4" w:rsidR="00523F92" w:rsidRPr="001224C1" w:rsidRDefault="00523F92" w:rsidP="00FF2991">
      <w:pPr>
        <w:numPr>
          <w:ilvl w:val="1"/>
          <w:numId w:val="9"/>
        </w:numPr>
        <w:shd w:val="clear" w:color="auto" w:fill="FFFFFF"/>
        <w:spacing w:after="120"/>
        <w:ind w:hanging="357"/>
        <w:rPr>
          <w:rFonts w:cstheme="minorHAnsi"/>
          <w:color w:val="1A1A1A"/>
        </w:rPr>
      </w:pPr>
      <w:proofErr w:type="gramStart"/>
      <w:r w:rsidRPr="001224C1">
        <w:rPr>
          <w:rFonts w:cstheme="minorHAnsi"/>
          <w:color w:val="1A1A1A"/>
        </w:rPr>
        <w:t>les</w:t>
      </w:r>
      <w:proofErr w:type="gramEnd"/>
      <w:r w:rsidRPr="001224C1">
        <w:rPr>
          <w:rFonts w:cstheme="minorHAnsi"/>
          <w:color w:val="1A1A1A"/>
        </w:rPr>
        <w:t xml:space="preserve"> personnes âgées de 18 ans et plus peuvent obtenir une première dose de rappel trois mois (84 jours) après la fin de la série primaire de trois doses.</w:t>
      </w:r>
    </w:p>
    <w:p w14:paraId="421B2F87" w14:textId="27FB4A13" w:rsidR="00523F92" w:rsidRPr="001224C1" w:rsidRDefault="00E41D28" w:rsidP="00FF2991">
      <w:pPr>
        <w:pStyle w:val="ListParagraph"/>
        <w:numPr>
          <w:ilvl w:val="0"/>
          <w:numId w:val="9"/>
        </w:numPr>
        <w:spacing w:after="120"/>
        <w:ind w:hanging="357"/>
        <w:contextualSpacing w:val="0"/>
        <w:rPr>
          <w:rFonts w:cstheme="minorHAnsi"/>
          <w:color w:val="1A1A1A"/>
        </w:rPr>
      </w:pPr>
      <w:r w:rsidRPr="001224C1">
        <w:rPr>
          <w:rFonts w:cstheme="minorHAnsi"/>
          <w:color w:val="1A1A1A"/>
        </w:rPr>
        <w:t xml:space="preserve">La troisième dose et la dose de rappel renforcent la protection des personnes pouvant avoir une réponse immunitaire plus faible après deux doses et qui présentent un risque plus élevé de complications graves découlant de la COVID-19. </w:t>
      </w:r>
    </w:p>
    <w:p w14:paraId="32590D72" w14:textId="5FFF3F52" w:rsidR="007B15DE" w:rsidRPr="001224C1" w:rsidRDefault="008B6994" w:rsidP="00A65CBC">
      <w:pPr>
        <w:pStyle w:val="NormalWeb"/>
        <w:numPr>
          <w:ilvl w:val="0"/>
          <w:numId w:val="9"/>
        </w:numPr>
        <w:shd w:val="clear" w:color="auto" w:fill="FFFFFF" w:themeFill="background1"/>
        <w:spacing w:before="0" w:beforeAutospacing="0" w:after="120" w:afterAutospacing="0" w:line="276" w:lineRule="auto"/>
        <w:ind w:hanging="357"/>
        <w:rPr>
          <w:rFonts w:asciiTheme="minorHAnsi" w:eastAsiaTheme="minorEastAsia" w:hAnsiTheme="minorHAnsi" w:cstheme="minorHAnsi"/>
          <w:color w:val="1A1A1A"/>
        </w:rPr>
      </w:pPr>
      <w:r w:rsidRPr="001224C1">
        <w:rPr>
          <w:rFonts w:asciiTheme="minorHAnsi" w:hAnsiTheme="minorHAnsi" w:cstheme="minorHAnsi"/>
          <w:color w:val="1A1A1A"/>
        </w:rPr>
        <w:t xml:space="preserve">À l’heure actuelle, les doses de rappel ne sont pas recommandées pour toute </w:t>
      </w:r>
      <w:proofErr w:type="gramStart"/>
      <w:r w:rsidRPr="001224C1">
        <w:rPr>
          <w:rFonts w:asciiTheme="minorHAnsi" w:hAnsiTheme="minorHAnsi" w:cstheme="minorHAnsi"/>
          <w:color w:val="1A1A1A"/>
        </w:rPr>
        <w:t>personne</w:t>
      </w:r>
      <w:proofErr w:type="gramEnd"/>
      <w:r w:rsidRPr="001224C1">
        <w:rPr>
          <w:rFonts w:asciiTheme="minorHAnsi" w:hAnsiTheme="minorHAnsi" w:cstheme="minorHAnsi"/>
          <w:color w:val="1A1A1A"/>
        </w:rPr>
        <w:t xml:space="preserve"> âgée de moins de 12 ans.</w:t>
      </w:r>
    </w:p>
    <w:p w14:paraId="59A3967F" w14:textId="6DCC1D6A" w:rsidR="005C73F0" w:rsidRPr="001224C1" w:rsidRDefault="005066E2" w:rsidP="005C73F0">
      <w:pPr>
        <w:pStyle w:val="NormalWeb"/>
        <w:numPr>
          <w:ilvl w:val="0"/>
          <w:numId w:val="9"/>
        </w:numPr>
        <w:shd w:val="clear" w:color="auto" w:fill="FFFFFF" w:themeFill="background1"/>
        <w:spacing w:before="0" w:beforeAutospacing="0" w:after="120" w:afterAutospacing="0" w:line="276" w:lineRule="auto"/>
        <w:ind w:hanging="357"/>
        <w:rPr>
          <w:rFonts w:asciiTheme="minorHAnsi" w:hAnsiTheme="minorHAnsi" w:cstheme="minorHAnsi"/>
          <w:color w:val="1A1A1A"/>
        </w:rPr>
      </w:pPr>
      <w:r w:rsidRPr="001224C1">
        <w:rPr>
          <w:rFonts w:asciiTheme="minorHAnsi" w:hAnsiTheme="minorHAnsi" w:cstheme="minorHAnsi"/>
          <w:color w:val="1A1A1A"/>
        </w:rPr>
        <w:t>De plus, les personnes immunodéprimées admissibles peuvent recevoir une seconde dose de rappel à un intervalle recommandé de cinq mois (140 jours) après avoir reçu leur première dose de rappel ou à un intervalle minimum de trois mois (84 jours) après leur première dose de rappel si elles sont également :</w:t>
      </w:r>
    </w:p>
    <w:p w14:paraId="1AD9EBB0" w14:textId="5280AC42" w:rsidR="005066E2" w:rsidRPr="001224C1" w:rsidRDefault="005066E2" w:rsidP="00A65CBC">
      <w:pPr>
        <w:pStyle w:val="ListParagraph"/>
        <w:numPr>
          <w:ilvl w:val="1"/>
          <w:numId w:val="9"/>
        </w:numPr>
        <w:shd w:val="clear" w:color="auto" w:fill="FFFFFF"/>
        <w:spacing w:after="120"/>
        <w:rPr>
          <w:rFonts w:eastAsia="Times New Roman" w:cstheme="minorHAnsi"/>
          <w:color w:val="1A1A1A"/>
          <w:szCs w:val="24"/>
        </w:rPr>
      </w:pPr>
      <w:proofErr w:type="gramStart"/>
      <w:r w:rsidRPr="001224C1">
        <w:rPr>
          <w:rFonts w:cstheme="minorHAnsi"/>
          <w:color w:val="1A1A1A"/>
        </w:rPr>
        <w:t>âgées</w:t>
      </w:r>
      <w:proofErr w:type="gramEnd"/>
      <w:r w:rsidRPr="001224C1">
        <w:rPr>
          <w:rFonts w:cstheme="minorHAnsi"/>
          <w:color w:val="1A1A1A"/>
        </w:rPr>
        <w:t xml:space="preserve"> de 60 ans et plus;</w:t>
      </w:r>
    </w:p>
    <w:p w14:paraId="35337423" w14:textId="77777777" w:rsidR="005066E2" w:rsidRPr="001224C1" w:rsidRDefault="005066E2" w:rsidP="00A65CBC">
      <w:pPr>
        <w:pStyle w:val="ListParagraph"/>
        <w:numPr>
          <w:ilvl w:val="1"/>
          <w:numId w:val="9"/>
        </w:numPr>
        <w:shd w:val="clear" w:color="auto" w:fill="FFFFFF"/>
        <w:spacing w:after="120"/>
        <w:ind w:hanging="357"/>
        <w:rPr>
          <w:rFonts w:eastAsia="Times New Roman" w:cstheme="minorHAnsi"/>
          <w:color w:val="1A1A1A"/>
          <w:szCs w:val="24"/>
        </w:rPr>
      </w:pPr>
      <w:proofErr w:type="gramStart"/>
      <w:r w:rsidRPr="001224C1">
        <w:rPr>
          <w:rFonts w:cstheme="minorHAnsi"/>
          <w:color w:val="1A1A1A"/>
        </w:rPr>
        <w:t>résidentes</w:t>
      </w:r>
      <w:proofErr w:type="gramEnd"/>
      <w:r w:rsidRPr="001224C1">
        <w:rPr>
          <w:rFonts w:cstheme="minorHAnsi"/>
          <w:color w:val="1A1A1A"/>
        </w:rPr>
        <w:t xml:space="preserve"> d’un foyer de soins de longue durée, d’une maison de retraite ou d’un pavillon de soins pour aînés; </w:t>
      </w:r>
    </w:p>
    <w:p w14:paraId="11FB3B35" w14:textId="77777777" w:rsidR="005066E2" w:rsidRPr="001224C1" w:rsidRDefault="005066E2" w:rsidP="00A65CBC">
      <w:pPr>
        <w:pStyle w:val="ListParagraph"/>
        <w:numPr>
          <w:ilvl w:val="1"/>
          <w:numId w:val="9"/>
        </w:numPr>
        <w:shd w:val="clear" w:color="auto" w:fill="FFFFFF"/>
        <w:spacing w:after="120"/>
        <w:ind w:hanging="357"/>
        <w:rPr>
          <w:rFonts w:eastAsia="Times New Roman" w:cstheme="minorHAnsi"/>
          <w:color w:val="1A1A1A"/>
          <w:szCs w:val="24"/>
        </w:rPr>
      </w:pPr>
      <w:proofErr w:type="gramStart"/>
      <w:r w:rsidRPr="001224C1">
        <w:rPr>
          <w:rFonts w:cstheme="minorHAnsi"/>
          <w:color w:val="1A1A1A"/>
        </w:rPr>
        <w:t>des</w:t>
      </w:r>
      <w:proofErr w:type="gramEnd"/>
      <w:r w:rsidRPr="001224C1">
        <w:rPr>
          <w:rFonts w:cstheme="minorHAnsi"/>
          <w:color w:val="1A1A1A"/>
        </w:rPr>
        <w:t xml:space="preserve"> adultes plus âgés qui vivent dans d’autres milieux d’hébergement collectif qui fournissent des services d’assistance et des services de santé; ou</w:t>
      </w:r>
    </w:p>
    <w:p w14:paraId="227AFF20" w14:textId="330E6430" w:rsidR="00683371" w:rsidRPr="001224C1" w:rsidRDefault="005066E2" w:rsidP="00A65CBC">
      <w:pPr>
        <w:pStyle w:val="ListParagraph"/>
        <w:numPr>
          <w:ilvl w:val="1"/>
          <w:numId w:val="9"/>
        </w:numPr>
        <w:shd w:val="clear" w:color="auto" w:fill="FFFFFF"/>
        <w:spacing w:after="120"/>
        <w:ind w:hanging="357"/>
        <w:rPr>
          <w:rFonts w:eastAsia="Times New Roman" w:cstheme="minorHAnsi"/>
          <w:color w:val="1A1A1A"/>
          <w:szCs w:val="24"/>
        </w:rPr>
      </w:pPr>
      <w:proofErr w:type="gramStart"/>
      <w:r w:rsidRPr="001224C1">
        <w:rPr>
          <w:rFonts w:cstheme="minorHAnsi"/>
          <w:color w:val="1A1A1A"/>
        </w:rPr>
        <w:t>des</w:t>
      </w:r>
      <w:proofErr w:type="gramEnd"/>
      <w:r w:rsidRPr="001224C1">
        <w:rPr>
          <w:rFonts w:cstheme="minorHAnsi"/>
          <w:color w:val="1A1A1A"/>
        </w:rPr>
        <w:t xml:space="preserve"> membres des Premières Nations, des Inuits et des Métis ou les membres non autochtones de leur ménage âgés de 18 et plus.</w:t>
      </w:r>
    </w:p>
    <w:p w14:paraId="38F6D234" w14:textId="5E2D1550" w:rsidR="00D84686" w:rsidRPr="001224C1" w:rsidRDefault="00D84686" w:rsidP="008A672D">
      <w:pPr>
        <w:pStyle w:val="NormalWeb"/>
        <w:numPr>
          <w:ilvl w:val="0"/>
          <w:numId w:val="9"/>
        </w:numPr>
        <w:shd w:val="clear" w:color="auto" w:fill="FFFFFF" w:themeFill="background1"/>
        <w:spacing w:before="0" w:beforeAutospacing="0" w:after="120" w:afterAutospacing="0" w:line="276" w:lineRule="auto"/>
        <w:rPr>
          <w:rFonts w:asciiTheme="minorHAnsi" w:eastAsiaTheme="majorEastAsia" w:hAnsiTheme="minorHAnsi" w:cstheme="minorHAnsi"/>
          <w:color w:val="1A1A1A"/>
        </w:rPr>
      </w:pPr>
      <w:r w:rsidRPr="001224C1">
        <w:rPr>
          <w:rFonts w:asciiTheme="minorHAnsi" w:hAnsiTheme="minorHAnsi" w:cstheme="minorHAnsi"/>
          <w:color w:val="1A1A1A"/>
        </w:rPr>
        <w:lastRenderedPageBreak/>
        <w:t>Les personnes admissibles pourraient avoir besoin d’auto-attester qu’elles sont modérément à gravement immunodéprimées ou de fournir leur ordonnance, leur flacon d’ordonnance, un reçu d’ordonnance ou une recommandation d’un professionnel de la santé au moment de leur rendez-vous. Il est possible de présenter une recommandation précédente pour une troisième dose pour démontrer son admissibilité à une dose de rappel.</w:t>
      </w:r>
    </w:p>
    <w:p w14:paraId="2363711B" w14:textId="747DE9F5" w:rsidR="00D84686" w:rsidRPr="001224C1" w:rsidRDefault="002A37F1" w:rsidP="00FF2991">
      <w:pPr>
        <w:pStyle w:val="ListParagraph"/>
        <w:numPr>
          <w:ilvl w:val="0"/>
          <w:numId w:val="9"/>
        </w:numPr>
        <w:spacing w:after="120"/>
        <w:contextualSpacing w:val="0"/>
        <w:rPr>
          <w:rFonts w:cstheme="minorHAnsi"/>
        </w:rPr>
      </w:pPr>
      <w:r w:rsidRPr="001224C1">
        <w:rPr>
          <w:rFonts w:cstheme="minorHAnsi"/>
        </w:rPr>
        <w:t>Obtenez de plus amples renseignements en visitant ontario.ca/</w:t>
      </w:r>
      <w:proofErr w:type="spellStart"/>
      <w:r w:rsidRPr="001224C1">
        <w:rPr>
          <w:rFonts w:cstheme="minorHAnsi"/>
        </w:rPr>
        <w:t>vaccincovidinfo</w:t>
      </w:r>
      <w:proofErr w:type="spellEnd"/>
      <w:r w:rsidRPr="001224C1">
        <w:rPr>
          <w:rFonts w:cstheme="minorHAnsi"/>
        </w:rPr>
        <w:t xml:space="preserve"> ou en téléphonant à </w:t>
      </w:r>
      <w:proofErr w:type="spellStart"/>
      <w:r w:rsidRPr="001224C1">
        <w:rPr>
          <w:rFonts w:cstheme="minorHAnsi"/>
        </w:rPr>
        <w:t>l’InfoCentre</w:t>
      </w:r>
      <w:proofErr w:type="spellEnd"/>
      <w:r w:rsidRPr="001224C1">
        <w:rPr>
          <w:rFonts w:cstheme="minorHAnsi"/>
        </w:rPr>
        <w:t xml:space="preserve"> provincial pour la vaccination au 1 833 943-3900 (ATS : 1 866 797-0007).</w:t>
      </w:r>
    </w:p>
    <w:p w14:paraId="7EF9028C" w14:textId="635C8C7D" w:rsidR="007E1404" w:rsidRPr="001224C1" w:rsidRDefault="00E433DD" w:rsidP="00D55A46">
      <w:pPr>
        <w:spacing w:before="240" w:after="120"/>
        <w:rPr>
          <w:rFonts w:cstheme="minorHAnsi"/>
        </w:rPr>
      </w:pPr>
      <w:r w:rsidRPr="001224C1">
        <w:rPr>
          <w:rFonts w:cstheme="minorHAnsi"/>
        </w:rPr>
        <w:t xml:space="preserve">Pour de plus amples renseignements sur la série primaire de trois doses et la dose de rappel, </w:t>
      </w:r>
      <w:proofErr w:type="spellStart"/>
      <w:r w:rsidRPr="001224C1">
        <w:rPr>
          <w:rFonts w:cstheme="minorHAnsi"/>
        </w:rPr>
        <w:t>veuillez vous</w:t>
      </w:r>
      <w:proofErr w:type="spellEnd"/>
      <w:r w:rsidRPr="001224C1">
        <w:rPr>
          <w:rFonts w:cstheme="minorHAnsi"/>
        </w:rPr>
        <w:t xml:space="preserve"> reporter aux </w:t>
      </w:r>
      <w:hyperlink r:id="rId11" w:history="1">
        <w:r w:rsidRPr="001224C1">
          <w:rPr>
            <w:rStyle w:val="Hyperlink"/>
            <w:rFonts w:cstheme="minorHAnsi"/>
          </w:rPr>
          <w:t>Recommandations concernant la troisième dose et les doses de rappel des vaccins contre la COVID-19</w:t>
        </w:r>
      </w:hyperlink>
      <w:r w:rsidRPr="001224C1">
        <w:rPr>
          <w:rFonts w:cstheme="minorHAnsi"/>
        </w:rPr>
        <w:t xml:space="preserve"> du ministère de la Santé.  </w:t>
      </w:r>
    </w:p>
    <w:p w14:paraId="5110A185" w14:textId="77777777" w:rsidR="00816B56" w:rsidRPr="001224C1" w:rsidRDefault="00816B56" w:rsidP="00FF2991">
      <w:pPr>
        <w:pStyle w:val="ListParagraph"/>
        <w:spacing w:after="120"/>
        <w:ind w:left="360"/>
        <w:contextualSpacing w:val="0"/>
        <w:rPr>
          <w:rFonts w:cstheme="minorHAnsi"/>
        </w:rPr>
      </w:pPr>
    </w:p>
    <w:p w14:paraId="1E1CDB28" w14:textId="4B9CD4E7" w:rsidR="003C60DC" w:rsidRPr="001224C1" w:rsidRDefault="003E3441" w:rsidP="0EDB8DC8">
      <w:pPr>
        <w:pStyle w:val="NormalWeb"/>
        <w:pBdr>
          <w:top w:val="single" w:sz="4" w:space="1" w:color="auto"/>
          <w:left w:val="single" w:sz="4" w:space="4" w:color="auto"/>
          <w:bottom w:val="single" w:sz="4" w:space="1" w:color="auto"/>
          <w:right w:val="single" w:sz="4" w:space="4" w:color="auto"/>
        </w:pBdr>
        <w:shd w:val="clear" w:color="auto" w:fill="000000" w:themeFill="text2"/>
        <w:tabs>
          <w:tab w:val="left" w:pos="2200"/>
        </w:tabs>
        <w:spacing w:before="0" w:beforeAutospacing="0" w:after="120" w:afterAutospacing="0" w:line="276" w:lineRule="auto"/>
        <w:rPr>
          <w:rFonts w:asciiTheme="minorHAnsi" w:hAnsiTheme="minorHAnsi" w:cstheme="minorHAnsi"/>
          <w:b/>
          <w:color w:val="FFFFFF" w:themeColor="background1"/>
        </w:rPr>
      </w:pPr>
      <w:r w:rsidRPr="001224C1">
        <w:rPr>
          <w:rFonts w:asciiTheme="minorHAnsi" w:hAnsiTheme="minorHAnsi" w:cstheme="minorHAnsi"/>
          <w:b/>
          <w:color w:val="FFFFFF" w:themeColor="background1"/>
        </w:rPr>
        <w:t>Personnes admissibles à une série primaire de trois doses</w:t>
      </w:r>
    </w:p>
    <w:p w14:paraId="5DCFCCC6" w14:textId="6221A3A8" w:rsidR="00523F92" w:rsidRPr="001224C1" w:rsidRDefault="00C23686" w:rsidP="1395D68E">
      <w:pPr>
        <w:pStyle w:val="NormalWeb"/>
        <w:shd w:val="clear" w:color="auto" w:fill="FFFFFF" w:themeFill="background1"/>
        <w:spacing w:before="0" w:beforeAutospacing="0" w:after="120" w:afterAutospacing="0" w:line="276" w:lineRule="auto"/>
        <w:rPr>
          <w:rFonts w:asciiTheme="minorHAnsi" w:hAnsiTheme="minorHAnsi" w:cstheme="minorHAnsi"/>
          <w:color w:val="1A1A1A"/>
        </w:rPr>
      </w:pPr>
      <w:r w:rsidRPr="001224C1">
        <w:rPr>
          <w:rFonts w:asciiTheme="minorHAnsi" w:hAnsiTheme="minorHAnsi" w:cstheme="minorHAnsi"/>
          <w:color w:val="1A1A1A"/>
        </w:rPr>
        <w:t>Une personne peut être admissible à une série primaire de trois doses si elle est :</w:t>
      </w:r>
    </w:p>
    <w:p w14:paraId="07EFBA93" w14:textId="77777777" w:rsidR="00523F92" w:rsidRPr="001224C1" w:rsidRDefault="00523F92" w:rsidP="00FF2991">
      <w:pPr>
        <w:numPr>
          <w:ilvl w:val="0"/>
          <w:numId w:val="8"/>
        </w:numPr>
        <w:shd w:val="clear" w:color="auto" w:fill="FFFFFF"/>
        <w:spacing w:after="120"/>
        <w:ind w:left="714" w:hanging="357"/>
        <w:rPr>
          <w:rFonts w:cstheme="minorHAnsi"/>
          <w:color w:val="1A1A1A"/>
        </w:rPr>
      </w:pPr>
      <w:proofErr w:type="gramStart"/>
      <w:r w:rsidRPr="001224C1">
        <w:rPr>
          <w:rFonts w:cstheme="minorHAnsi"/>
          <w:color w:val="1A1A1A"/>
        </w:rPr>
        <w:t>récipiendaire</w:t>
      </w:r>
      <w:proofErr w:type="gramEnd"/>
      <w:r w:rsidRPr="001224C1">
        <w:rPr>
          <w:rFonts w:cstheme="minorHAnsi"/>
          <w:color w:val="1A1A1A"/>
        </w:rPr>
        <w:t xml:space="preserve"> d’une greffe (incluant les transplantations d’organes solides et les greffes de cellules souches hématopoïétiques);</w:t>
      </w:r>
    </w:p>
    <w:p w14:paraId="12D5496F" w14:textId="77777777" w:rsidR="00523F92" w:rsidRPr="001224C1" w:rsidRDefault="00523F92" w:rsidP="00FF2991">
      <w:pPr>
        <w:numPr>
          <w:ilvl w:val="0"/>
          <w:numId w:val="8"/>
        </w:numPr>
        <w:shd w:val="clear" w:color="auto" w:fill="FFFFFF"/>
        <w:spacing w:after="120"/>
        <w:ind w:left="714" w:hanging="357"/>
        <w:rPr>
          <w:rFonts w:cstheme="minorHAnsi"/>
          <w:color w:val="1A1A1A"/>
        </w:rPr>
      </w:pPr>
      <w:proofErr w:type="gramStart"/>
      <w:r w:rsidRPr="001224C1">
        <w:rPr>
          <w:rFonts w:cstheme="minorHAnsi"/>
          <w:color w:val="1A1A1A"/>
        </w:rPr>
        <w:t>une</w:t>
      </w:r>
      <w:proofErr w:type="gramEnd"/>
      <w:r w:rsidRPr="001224C1">
        <w:rPr>
          <w:rFonts w:cstheme="minorHAnsi"/>
          <w:color w:val="1A1A1A"/>
        </w:rPr>
        <w:t xml:space="preserve"> personne recevant un traitement stable et actif (chimiothérapie, thérapies ciblées, immunothérapie) pour un trouble hématologique malin ou une tumeur solide;</w:t>
      </w:r>
    </w:p>
    <w:p w14:paraId="1B6EEB5D" w14:textId="77777777" w:rsidR="00523F92" w:rsidRPr="001224C1" w:rsidRDefault="00523F92" w:rsidP="00FF2991">
      <w:pPr>
        <w:numPr>
          <w:ilvl w:val="0"/>
          <w:numId w:val="8"/>
        </w:numPr>
        <w:shd w:val="clear" w:color="auto" w:fill="FFFFFF"/>
        <w:spacing w:after="120"/>
        <w:ind w:left="714" w:hanging="357"/>
        <w:rPr>
          <w:rFonts w:cstheme="minorHAnsi"/>
          <w:color w:val="1A1A1A"/>
        </w:rPr>
      </w:pPr>
      <w:proofErr w:type="gramStart"/>
      <w:r w:rsidRPr="001224C1">
        <w:rPr>
          <w:rFonts w:cstheme="minorHAnsi"/>
          <w:color w:val="1A1A1A"/>
        </w:rPr>
        <w:t>une</w:t>
      </w:r>
      <w:proofErr w:type="gramEnd"/>
      <w:r w:rsidRPr="001224C1">
        <w:rPr>
          <w:rFonts w:cstheme="minorHAnsi"/>
          <w:color w:val="1A1A1A"/>
        </w:rPr>
        <w:t xml:space="preserve"> personne recevant une thérapie par lymphocytes T à récepteur antigénique chimérique (thérapie </w:t>
      </w:r>
      <w:proofErr w:type="spellStart"/>
      <w:r w:rsidRPr="001224C1">
        <w:rPr>
          <w:rFonts w:cstheme="minorHAnsi"/>
          <w:color w:val="1A1A1A"/>
        </w:rPr>
        <w:t>immunocellulaire</w:t>
      </w:r>
      <w:proofErr w:type="spellEnd"/>
      <w:r w:rsidRPr="001224C1">
        <w:rPr>
          <w:rFonts w:cstheme="minorHAnsi"/>
          <w:color w:val="1A1A1A"/>
        </w:rPr>
        <w:t xml:space="preserve"> CAR T-</w:t>
      </w:r>
      <w:proofErr w:type="spellStart"/>
      <w:r w:rsidRPr="001224C1">
        <w:rPr>
          <w:rFonts w:cstheme="minorHAnsi"/>
          <w:color w:val="1A1A1A"/>
        </w:rPr>
        <w:t>cell</w:t>
      </w:r>
      <w:proofErr w:type="spellEnd"/>
      <w:r w:rsidRPr="001224C1">
        <w:rPr>
          <w:rFonts w:cstheme="minorHAnsi"/>
          <w:color w:val="1A1A1A"/>
        </w:rPr>
        <w:t>);</w:t>
      </w:r>
    </w:p>
    <w:p w14:paraId="0947FF91" w14:textId="77777777" w:rsidR="00523F92" w:rsidRPr="001224C1" w:rsidRDefault="00523F92" w:rsidP="00FF2991">
      <w:pPr>
        <w:numPr>
          <w:ilvl w:val="0"/>
          <w:numId w:val="8"/>
        </w:numPr>
        <w:shd w:val="clear" w:color="auto" w:fill="FFFFFF"/>
        <w:spacing w:after="120"/>
        <w:ind w:left="714" w:hanging="357"/>
        <w:rPr>
          <w:rFonts w:cstheme="minorHAnsi"/>
          <w:color w:val="1A1A1A"/>
        </w:rPr>
      </w:pPr>
      <w:proofErr w:type="gramStart"/>
      <w:r w:rsidRPr="001224C1">
        <w:rPr>
          <w:rFonts w:cstheme="minorHAnsi"/>
          <w:color w:val="1A1A1A"/>
        </w:rPr>
        <w:t>une</w:t>
      </w:r>
      <w:proofErr w:type="gramEnd"/>
      <w:r w:rsidRPr="001224C1">
        <w:rPr>
          <w:rFonts w:cstheme="minorHAnsi"/>
          <w:color w:val="1A1A1A"/>
        </w:rPr>
        <w:t xml:space="preserve"> personne atteinte d’une immunodéficience primaire modérée ou grave (p. ex., syndrome de </w:t>
      </w:r>
      <w:proofErr w:type="spellStart"/>
      <w:r w:rsidRPr="001224C1">
        <w:rPr>
          <w:rFonts w:cstheme="minorHAnsi"/>
          <w:color w:val="1A1A1A"/>
        </w:rPr>
        <w:t>DiGeorge</w:t>
      </w:r>
      <w:proofErr w:type="spellEnd"/>
      <w:r w:rsidRPr="001224C1">
        <w:rPr>
          <w:rFonts w:cstheme="minorHAnsi"/>
          <w:color w:val="1A1A1A"/>
        </w:rPr>
        <w:t xml:space="preserve">, syndrome de </w:t>
      </w:r>
      <w:proofErr w:type="spellStart"/>
      <w:r w:rsidRPr="001224C1">
        <w:rPr>
          <w:rFonts w:cstheme="minorHAnsi"/>
          <w:color w:val="1A1A1A"/>
        </w:rPr>
        <w:t>Wiskott</w:t>
      </w:r>
      <w:proofErr w:type="spellEnd"/>
      <w:r w:rsidRPr="001224C1">
        <w:rPr>
          <w:rFonts w:cstheme="minorHAnsi"/>
          <w:color w:val="1A1A1A"/>
        </w:rPr>
        <w:t>-Aldrich);</w:t>
      </w:r>
    </w:p>
    <w:p w14:paraId="2A241AAB" w14:textId="77777777" w:rsidR="00523F92" w:rsidRPr="001224C1" w:rsidRDefault="00523F92" w:rsidP="00FF2991">
      <w:pPr>
        <w:numPr>
          <w:ilvl w:val="0"/>
          <w:numId w:val="8"/>
        </w:numPr>
        <w:shd w:val="clear" w:color="auto" w:fill="FFFFFF"/>
        <w:spacing w:after="120"/>
        <w:ind w:left="714" w:hanging="357"/>
        <w:rPr>
          <w:rFonts w:cstheme="minorHAnsi"/>
          <w:color w:val="1A1A1A"/>
        </w:rPr>
      </w:pPr>
      <w:proofErr w:type="gramStart"/>
      <w:r w:rsidRPr="001224C1">
        <w:rPr>
          <w:rFonts w:cstheme="minorHAnsi"/>
          <w:color w:val="1A1A1A"/>
        </w:rPr>
        <w:t>une</w:t>
      </w:r>
      <w:proofErr w:type="gramEnd"/>
      <w:r w:rsidRPr="001224C1">
        <w:rPr>
          <w:rFonts w:cstheme="minorHAnsi"/>
          <w:color w:val="1A1A1A"/>
        </w:rPr>
        <w:t xml:space="preserve"> personne atteinte d’une infection par le VIH de stade 3 ou non traitée avancée et celles atteintes du syndrome d'immunodéficience acquise;</w:t>
      </w:r>
    </w:p>
    <w:p w14:paraId="461FE66A" w14:textId="77777777" w:rsidR="00523F92" w:rsidRPr="001224C1" w:rsidRDefault="00523F92" w:rsidP="00FF2991">
      <w:pPr>
        <w:numPr>
          <w:ilvl w:val="0"/>
          <w:numId w:val="8"/>
        </w:numPr>
        <w:shd w:val="clear" w:color="auto" w:fill="FFFFFF"/>
        <w:spacing w:after="120"/>
        <w:ind w:left="714" w:hanging="357"/>
        <w:rPr>
          <w:rFonts w:cstheme="minorHAnsi"/>
          <w:color w:val="1A1A1A"/>
        </w:rPr>
      </w:pPr>
      <w:r w:rsidRPr="001224C1">
        <w:rPr>
          <w:rFonts w:cstheme="minorHAnsi"/>
        </w:rPr>
        <w:t>une personne qui suit un traitement actif au moyen des catégories qui suivent de traitements immunosuppresseurs : anti-lymphocytes B (anticorps monoclonaux ciblant les antigènes CD19, CD20 et CD22), corticostéroïdes à action systémique à dose élevée, agents alkylants, antimétabolites ou inhibiteurs du facteur de nécrose tumorale et autres agents biologiques qui sont considérablement immunosuppresseurs ou qui prennent</w:t>
      </w:r>
      <w:r w:rsidRPr="001224C1">
        <w:rPr>
          <w:rFonts w:cstheme="minorHAnsi"/>
          <w:color w:val="1A1A1A"/>
        </w:rPr>
        <w:t> </w:t>
      </w:r>
      <w:hyperlink r:id="rId12" w:history="1">
        <w:r w:rsidRPr="001224C1">
          <w:rPr>
            <w:rStyle w:val="Hyperlink"/>
            <w:rFonts w:cstheme="minorHAnsi"/>
            <w:color w:val="0066CC"/>
          </w:rPr>
          <w:t>des médicaments immunosuppresseurs particuliers</w:t>
        </w:r>
      </w:hyperlink>
      <w:r w:rsidRPr="001224C1">
        <w:rPr>
          <w:rFonts w:cstheme="minorHAnsi"/>
          <w:color w:val="1A1A1A"/>
        </w:rPr>
        <w:t> (PDF)</w:t>
      </w:r>
      <w:r w:rsidRPr="001224C1">
        <w:rPr>
          <w:rFonts w:cstheme="minorHAnsi"/>
        </w:rPr>
        <w:t>;</w:t>
      </w:r>
    </w:p>
    <w:p w14:paraId="522077BB" w14:textId="32466139" w:rsidR="002456BD" w:rsidRPr="001224C1" w:rsidRDefault="00523F92" w:rsidP="00FF2991">
      <w:pPr>
        <w:numPr>
          <w:ilvl w:val="0"/>
          <w:numId w:val="8"/>
        </w:numPr>
        <w:shd w:val="clear" w:color="auto" w:fill="FFFFFF"/>
        <w:spacing w:after="120"/>
        <w:ind w:left="714" w:hanging="357"/>
        <w:rPr>
          <w:rFonts w:cstheme="minorHAnsi"/>
          <w:color w:val="1A1A1A"/>
        </w:rPr>
      </w:pPr>
      <w:proofErr w:type="gramStart"/>
      <w:r w:rsidRPr="001224C1">
        <w:rPr>
          <w:rFonts w:cstheme="minorHAnsi"/>
          <w:color w:val="1A1A1A"/>
        </w:rPr>
        <w:t>une</w:t>
      </w:r>
      <w:proofErr w:type="gramEnd"/>
      <w:r w:rsidRPr="001224C1">
        <w:rPr>
          <w:rFonts w:cstheme="minorHAnsi"/>
          <w:color w:val="1A1A1A"/>
        </w:rPr>
        <w:t xml:space="preserve"> personne sous dialyse (hémodialyse ou dialyse péritonéale).</w:t>
      </w:r>
    </w:p>
    <w:p w14:paraId="178679E4" w14:textId="29E75171" w:rsidR="006C6EC6" w:rsidRPr="001224C1" w:rsidRDefault="006C6EC6" w:rsidP="00173120">
      <w:pPr>
        <w:shd w:val="clear" w:color="auto" w:fill="FFFFFF"/>
        <w:spacing w:after="120"/>
        <w:rPr>
          <w:rFonts w:cstheme="minorHAnsi"/>
          <w:color w:val="1A1A1A"/>
        </w:rPr>
      </w:pPr>
    </w:p>
    <w:p w14:paraId="2A2C2422" w14:textId="63ED7CD4" w:rsidR="005426FC" w:rsidRPr="001224C1" w:rsidRDefault="00F600D9" w:rsidP="00070E3F">
      <w:pPr>
        <w:pStyle w:val="NormalWeb"/>
        <w:pBdr>
          <w:top w:val="single" w:sz="4" w:space="1" w:color="auto"/>
          <w:left w:val="single" w:sz="4" w:space="4" w:color="auto"/>
          <w:bottom w:val="single" w:sz="4" w:space="1" w:color="auto"/>
          <w:right w:val="single" w:sz="4" w:space="4" w:color="auto"/>
        </w:pBdr>
        <w:shd w:val="clear" w:color="auto" w:fill="000000" w:themeFill="text1"/>
        <w:spacing w:before="0" w:beforeAutospacing="0" w:after="120" w:afterAutospacing="0" w:line="276" w:lineRule="auto"/>
        <w:rPr>
          <w:rFonts w:asciiTheme="minorHAnsi" w:hAnsiTheme="minorHAnsi" w:cstheme="minorHAnsi"/>
          <w:b/>
          <w:bCs/>
          <w:color w:val="FFFFFF" w:themeColor="background1"/>
        </w:rPr>
      </w:pPr>
      <w:r w:rsidRPr="001224C1">
        <w:rPr>
          <w:rFonts w:asciiTheme="minorHAnsi" w:hAnsiTheme="minorHAnsi" w:cstheme="minorHAnsi"/>
          <w:b/>
          <w:color w:val="FFFFFF" w:themeColor="background1"/>
        </w:rPr>
        <w:lastRenderedPageBreak/>
        <w:t>À quel moment recevoir le vaccin contre la COVID-19 à la suite d’une infection par la COVID-19</w:t>
      </w:r>
    </w:p>
    <w:p w14:paraId="25BB3EB2" w14:textId="14D325E0" w:rsidR="00344FB7" w:rsidRPr="001224C1" w:rsidRDefault="00344FB7" w:rsidP="00344FB7">
      <w:pPr>
        <w:pStyle w:val="ListParagraph"/>
        <w:numPr>
          <w:ilvl w:val="0"/>
          <w:numId w:val="11"/>
        </w:numPr>
        <w:shd w:val="clear" w:color="auto" w:fill="FFFFFF" w:themeFill="background1"/>
        <w:spacing w:after="120"/>
        <w:rPr>
          <w:rFonts w:cstheme="minorHAnsi"/>
          <w:color w:val="1A1A1A"/>
        </w:rPr>
      </w:pPr>
      <w:r w:rsidRPr="001224C1">
        <w:rPr>
          <w:rFonts w:cstheme="minorHAnsi"/>
          <w:color w:val="1A1A1A"/>
        </w:rPr>
        <w:t>Les personnes âgé</w:t>
      </w:r>
      <w:r w:rsidR="005B1715" w:rsidRPr="001224C1">
        <w:rPr>
          <w:rFonts w:cstheme="minorHAnsi"/>
          <w:color w:val="1A1A1A"/>
        </w:rPr>
        <w:t>e</w:t>
      </w:r>
      <w:r w:rsidRPr="001224C1">
        <w:rPr>
          <w:rFonts w:cstheme="minorHAnsi"/>
          <w:color w:val="1A1A1A"/>
        </w:rPr>
        <w:t>s de cinq ans et plus qui sont modérément à gravement immunodéprimées et qui contractent* la COVID-19 avant de terminer ou avant de commencer leur série primaire de trois doses de vaccin devraient attendre quatre à huit semaines suivant l’apparition de leurs symptômes ou suivant l’obtention d’un résultat positif à un test (si elles ne présentaient pas de symptômes) avant de recevoir une dose d’un vaccin contre la COVID-19.</w:t>
      </w:r>
    </w:p>
    <w:p w14:paraId="6293149C" w14:textId="04F0E901" w:rsidR="006D44A9" w:rsidRPr="001224C1" w:rsidRDefault="009246D8" w:rsidP="008A672D">
      <w:pPr>
        <w:pStyle w:val="ListParagraph"/>
        <w:numPr>
          <w:ilvl w:val="0"/>
          <w:numId w:val="11"/>
        </w:numPr>
        <w:shd w:val="clear" w:color="auto" w:fill="FFFFFF" w:themeFill="background1"/>
        <w:spacing w:after="120"/>
        <w:rPr>
          <w:rFonts w:cstheme="minorHAnsi"/>
          <w:color w:val="1A1A1A"/>
        </w:rPr>
      </w:pPr>
      <w:r w:rsidRPr="001224C1">
        <w:rPr>
          <w:rFonts w:cstheme="minorHAnsi"/>
          <w:color w:val="1A1A1A"/>
        </w:rPr>
        <w:t>On recommande aux personnes âgées de 12 ans et plus qui sont modérément à gravement immunodéprimées et qui contractent* la COVID-19 après avoir reçu leur série primaire de trois doses, mais avant de recevoir leur dose de rappel, de recevoir une dose trois mois suivant l’apparition de leurs symptômes ou suivant l’obtention d’un résultat positif à un test (si elles ne présentaient pas de symptômes).</w:t>
      </w:r>
    </w:p>
    <w:p w14:paraId="2D76588B" w14:textId="213B36BC" w:rsidR="009246D8" w:rsidRPr="001224C1" w:rsidRDefault="006D44A9" w:rsidP="008A672D">
      <w:pPr>
        <w:pStyle w:val="ListParagraph"/>
        <w:numPr>
          <w:ilvl w:val="1"/>
          <w:numId w:val="11"/>
        </w:numPr>
        <w:shd w:val="clear" w:color="auto" w:fill="FFFFFF" w:themeFill="background1"/>
        <w:spacing w:after="120"/>
        <w:rPr>
          <w:rFonts w:cstheme="minorHAnsi"/>
          <w:color w:val="1A1A1A"/>
        </w:rPr>
      </w:pPr>
      <w:r w:rsidRPr="001224C1">
        <w:rPr>
          <w:rFonts w:cstheme="minorHAnsi"/>
          <w:color w:val="1A1A1A"/>
        </w:rPr>
        <w:t xml:space="preserve">Pour les personnes de 12 à 17 ans, l’intervalle recommandé est d’au moins six mois après la fin de leur série primaire de trois doses. </w:t>
      </w:r>
    </w:p>
    <w:p w14:paraId="2BD4DC03" w14:textId="1BBD77AE" w:rsidR="005426FC" w:rsidRPr="001224C1" w:rsidRDefault="005426FC" w:rsidP="38F27FA1">
      <w:pPr>
        <w:pStyle w:val="ListParagraph"/>
        <w:numPr>
          <w:ilvl w:val="0"/>
          <w:numId w:val="11"/>
        </w:numPr>
        <w:shd w:val="clear" w:color="auto" w:fill="FFFFFF" w:themeFill="background1"/>
        <w:spacing w:after="120"/>
        <w:rPr>
          <w:rFonts w:cstheme="minorHAnsi"/>
          <w:color w:val="1A1A1A"/>
        </w:rPr>
      </w:pPr>
      <w:r w:rsidRPr="001224C1">
        <w:rPr>
          <w:rFonts w:cstheme="minorHAnsi"/>
          <w:color w:val="1A1A1A"/>
        </w:rPr>
        <w:t xml:space="preserve">Les enfants ayant des antécédents de syndrome inflammatoire </w:t>
      </w:r>
      <w:proofErr w:type="spellStart"/>
      <w:r w:rsidRPr="001224C1">
        <w:rPr>
          <w:rFonts w:cstheme="minorHAnsi"/>
          <w:color w:val="1A1A1A"/>
        </w:rPr>
        <w:t>multisystémique</w:t>
      </w:r>
      <w:proofErr w:type="spellEnd"/>
      <w:r w:rsidRPr="001224C1">
        <w:rPr>
          <w:rFonts w:cstheme="minorHAnsi"/>
          <w:color w:val="1A1A1A"/>
        </w:rPr>
        <w:t xml:space="preserve"> chez les enfants devraient recevoir la dose de vaccin une fois qu’ils se sont rétablis ou plus de 90 jours suivant l’apparition du syndrome, la période la plus longue prévalant.</w:t>
      </w:r>
    </w:p>
    <w:p w14:paraId="6C6B584B" w14:textId="4DF77892" w:rsidR="00296A6A" w:rsidRPr="001224C1" w:rsidRDefault="005426FC" w:rsidP="00871F72">
      <w:pPr>
        <w:pStyle w:val="ListParagraph"/>
        <w:numPr>
          <w:ilvl w:val="0"/>
          <w:numId w:val="11"/>
        </w:numPr>
        <w:shd w:val="clear" w:color="auto" w:fill="FFFFFF"/>
        <w:spacing w:after="120"/>
        <w:rPr>
          <w:rFonts w:cstheme="minorHAnsi"/>
          <w:color w:val="1A1A1A"/>
        </w:rPr>
      </w:pPr>
      <w:r w:rsidRPr="001224C1">
        <w:rPr>
          <w:rFonts w:cstheme="minorHAnsi"/>
          <w:color w:val="1A1A1A"/>
        </w:rPr>
        <w:t>Avec leur consentement éclairé, les personnes immunodéprimées peuvent recevoir leur vaccin contre la COVID-19 une fois qu’elles sont asymptomatiques et qu’elles ont terminé leur isolement.</w:t>
      </w:r>
    </w:p>
    <w:p w14:paraId="7C9AF36E" w14:textId="70459E85" w:rsidR="00296A6A" w:rsidRPr="001224C1" w:rsidRDefault="003156FE" w:rsidP="0EECC89F">
      <w:pPr>
        <w:shd w:val="clear" w:color="auto" w:fill="FFFFFF" w:themeFill="background1"/>
        <w:spacing w:after="120"/>
        <w:ind w:left="360"/>
        <w:rPr>
          <w:rFonts w:cstheme="minorHAnsi"/>
          <w:i/>
          <w:color w:val="1A1A1A"/>
        </w:rPr>
      </w:pPr>
      <w:r w:rsidRPr="001224C1">
        <w:rPr>
          <w:rFonts w:cstheme="minorHAnsi"/>
          <w:i/>
          <w:color w:val="1A1A1A"/>
        </w:rPr>
        <w:t>* La personne a contracté une infection précédente par la COVID-19 confirmée par un test moléculaire (p. ex., test PCR) ou un test antigénique rapide, ou a présenté des symptômes de la COVID-19 et était un contact faisant partie du ménage d’un cas confirmé de COVID-19.</w:t>
      </w:r>
    </w:p>
    <w:p w14:paraId="10E03A5C" w14:textId="052B91D3" w:rsidR="00173120" w:rsidRPr="001224C1" w:rsidRDefault="00173120" w:rsidP="00FD5F16">
      <w:pPr>
        <w:shd w:val="clear" w:color="auto" w:fill="FFFFFF"/>
        <w:spacing w:after="120"/>
        <w:ind w:left="360"/>
        <w:rPr>
          <w:rFonts w:cstheme="minorHAnsi"/>
          <w:i/>
          <w:iCs/>
          <w:color w:val="1A1A1A"/>
        </w:rPr>
      </w:pPr>
    </w:p>
    <w:p w14:paraId="75DBAF31" w14:textId="77777777" w:rsidR="00173120" w:rsidRPr="001224C1" w:rsidRDefault="00173120" w:rsidP="00173120">
      <w:pPr>
        <w:pStyle w:val="NormalWeb"/>
        <w:pBdr>
          <w:top w:val="single" w:sz="4" w:space="1" w:color="auto"/>
          <w:left w:val="single" w:sz="4" w:space="4" w:color="auto"/>
          <w:bottom w:val="single" w:sz="4" w:space="1" w:color="auto"/>
          <w:right w:val="single" w:sz="4" w:space="4" w:color="auto"/>
        </w:pBdr>
        <w:shd w:val="clear" w:color="auto" w:fill="000000" w:themeFill="text1"/>
        <w:spacing w:before="0" w:beforeAutospacing="0" w:after="120" w:afterAutospacing="0" w:line="276" w:lineRule="auto"/>
        <w:rPr>
          <w:rFonts w:asciiTheme="minorHAnsi" w:hAnsiTheme="minorHAnsi" w:cstheme="minorHAnsi"/>
          <w:color w:val="1A1A1A"/>
        </w:rPr>
      </w:pPr>
      <w:r w:rsidRPr="001224C1">
        <w:rPr>
          <w:rFonts w:asciiTheme="minorHAnsi" w:hAnsiTheme="minorHAnsi" w:cstheme="minorHAnsi"/>
          <w:b/>
          <w:color w:val="FFFFFF" w:themeColor="background1"/>
        </w:rPr>
        <w:t>Comment prendre rendez-vous</w:t>
      </w:r>
    </w:p>
    <w:p w14:paraId="07DCEE01" w14:textId="1D94A0F5" w:rsidR="00173120" w:rsidRPr="001224C1" w:rsidRDefault="00173120" w:rsidP="00173120">
      <w:pPr>
        <w:pStyle w:val="NormalWeb"/>
        <w:shd w:val="clear" w:color="auto" w:fill="FFFFFF"/>
        <w:spacing w:before="0" w:beforeAutospacing="0" w:after="120" w:afterAutospacing="0" w:line="276" w:lineRule="auto"/>
        <w:rPr>
          <w:rFonts w:asciiTheme="minorHAnsi" w:hAnsiTheme="minorHAnsi" w:cstheme="minorHAnsi"/>
          <w:color w:val="1A1A1A"/>
        </w:rPr>
      </w:pPr>
      <w:r w:rsidRPr="001224C1">
        <w:rPr>
          <w:rFonts w:asciiTheme="minorHAnsi" w:hAnsiTheme="minorHAnsi" w:cstheme="minorHAnsi"/>
        </w:rPr>
        <w:t xml:space="preserve">Il est possible de prendre rendez-vous pour une troisième dose et une dose de rappel </w:t>
      </w:r>
      <w:r w:rsidRPr="001224C1">
        <w:rPr>
          <w:rFonts w:asciiTheme="minorHAnsi" w:hAnsiTheme="minorHAnsi" w:cstheme="minorHAnsi"/>
          <w:color w:val="1A1A1A"/>
        </w:rPr>
        <w:t> </w:t>
      </w:r>
      <w:hyperlink r:id="rId13" w:anchor="#o%C3%B9-se-faire-vacciner" w:history="1">
        <w:r w:rsidRPr="001224C1">
          <w:rPr>
            <w:rStyle w:val="Hyperlink"/>
            <w:rFonts w:asciiTheme="minorHAnsi" w:hAnsiTheme="minorHAnsi" w:cstheme="minorHAnsi"/>
            <w:color w:val="0066CC"/>
          </w:rPr>
          <w:t>au moyen de tous les canaux de vaccination</w:t>
        </w:r>
      </w:hyperlink>
      <w:r w:rsidRPr="001224C1">
        <w:rPr>
          <w:rFonts w:asciiTheme="minorHAnsi" w:hAnsiTheme="minorHAnsi" w:cstheme="minorHAnsi"/>
          <w:color w:val="1A1A1A"/>
        </w:rPr>
        <w:t>, notamment :</w:t>
      </w:r>
    </w:p>
    <w:p w14:paraId="41A351F0" w14:textId="1704556E"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rPr>
        <w:t>au</w:t>
      </w:r>
      <w:proofErr w:type="gramEnd"/>
      <w:r w:rsidRPr="001224C1">
        <w:rPr>
          <w:rFonts w:cstheme="minorHAnsi"/>
        </w:rPr>
        <w:t xml:space="preserve"> moyen du</w:t>
      </w:r>
      <w:r w:rsidRPr="001224C1">
        <w:rPr>
          <w:rFonts w:cstheme="minorHAnsi"/>
          <w:color w:val="1A1A1A"/>
        </w:rPr>
        <w:t> </w:t>
      </w:r>
      <w:hyperlink r:id="rId14" w:history="1">
        <w:r w:rsidRPr="001224C1">
          <w:rPr>
            <w:rStyle w:val="Hyperlink"/>
            <w:rFonts w:cstheme="minorHAnsi"/>
            <w:color w:val="0066CC"/>
          </w:rPr>
          <w:t>portail de vaccination contre la COVID-19</w:t>
        </w:r>
      </w:hyperlink>
      <w:r w:rsidRPr="001224C1">
        <w:rPr>
          <w:rFonts w:cstheme="minorHAnsi"/>
        </w:rPr>
        <w:t>;</w:t>
      </w:r>
    </w:p>
    <w:p w14:paraId="318B3928" w14:textId="77777777"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rPr>
        <w:t>en</w:t>
      </w:r>
      <w:proofErr w:type="gramEnd"/>
      <w:r w:rsidRPr="001224C1">
        <w:rPr>
          <w:rFonts w:cstheme="minorHAnsi"/>
        </w:rPr>
        <w:t xml:space="preserve"> téléphonant à </w:t>
      </w:r>
      <w:proofErr w:type="spellStart"/>
      <w:r w:rsidRPr="001224C1">
        <w:rPr>
          <w:rFonts w:cstheme="minorHAnsi"/>
        </w:rPr>
        <w:t>l’InfoCentre</w:t>
      </w:r>
      <w:proofErr w:type="spellEnd"/>
      <w:r w:rsidRPr="001224C1">
        <w:rPr>
          <w:rFonts w:cstheme="minorHAnsi"/>
        </w:rPr>
        <w:t xml:space="preserve"> provincial pour la vaccination au </w:t>
      </w:r>
      <w:hyperlink r:id="rId15" w:history="1">
        <w:r w:rsidRPr="001224C1">
          <w:rPr>
            <w:rStyle w:val="Hyperlink"/>
            <w:rFonts w:cstheme="minorHAnsi"/>
            <w:color w:val="0066CC"/>
          </w:rPr>
          <w:t>1 833 943-3900</w:t>
        </w:r>
      </w:hyperlink>
      <w:r w:rsidRPr="001224C1">
        <w:rPr>
          <w:rFonts w:cstheme="minorHAnsi"/>
        </w:rPr>
        <w:t>;</w:t>
      </w:r>
    </w:p>
    <w:p w14:paraId="451C8C9F" w14:textId="77777777"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color w:val="1A1A1A"/>
        </w:rPr>
        <w:t>directement</w:t>
      </w:r>
      <w:proofErr w:type="gramEnd"/>
      <w:r w:rsidRPr="001224C1">
        <w:rPr>
          <w:rFonts w:cstheme="minorHAnsi"/>
          <w:color w:val="1A1A1A"/>
        </w:rPr>
        <w:t xml:space="preserve"> par l’entremise des </w:t>
      </w:r>
      <w:hyperlink r:id="rId16" w:history="1">
        <w:r w:rsidRPr="001224C1">
          <w:rPr>
            <w:rStyle w:val="Hyperlink"/>
            <w:rFonts w:cstheme="minorHAnsi"/>
            <w:color w:val="0066CC"/>
          </w:rPr>
          <w:t>bureaux de santé publique</w:t>
        </w:r>
      </w:hyperlink>
      <w:r w:rsidRPr="001224C1">
        <w:rPr>
          <w:rFonts w:cstheme="minorHAnsi"/>
          <w:color w:val="1A1A1A"/>
        </w:rPr>
        <w:t> qui utilisent leur propre système de prise de rendez-vous;</w:t>
      </w:r>
    </w:p>
    <w:p w14:paraId="734B8879" w14:textId="77777777"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color w:val="1A1A1A"/>
        </w:rPr>
        <w:t>dans</w:t>
      </w:r>
      <w:proofErr w:type="gramEnd"/>
      <w:r w:rsidRPr="001224C1">
        <w:rPr>
          <w:rFonts w:cstheme="minorHAnsi"/>
          <w:color w:val="1A1A1A"/>
        </w:rPr>
        <w:t xml:space="preserve"> des cliniques de vaccination dirigées par des Autochtones;</w:t>
      </w:r>
    </w:p>
    <w:p w14:paraId="33BF8C8F" w14:textId="77777777" w:rsidR="00173120" w:rsidRPr="001224C1" w:rsidRDefault="000C13FA" w:rsidP="00173120">
      <w:pPr>
        <w:numPr>
          <w:ilvl w:val="0"/>
          <w:numId w:val="10"/>
        </w:numPr>
        <w:shd w:val="clear" w:color="auto" w:fill="FFFFFF"/>
        <w:spacing w:after="120"/>
        <w:rPr>
          <w:rFonts w:cstheme="minorHAnsi"/>
          <w:color w:val="1A1A1A"/>
        </w:rPr>
      </w:pPr>
      <w:proofErr w:type="gramStart"/>
      <w:r w:rsidRPr="001224C1">
        <w:rPr>
          <w:rFonts w:cstheme="minorHAnsi"/>
        </w:rPr>
        <w:t>dans</w:t>
      </w:r>
      <w:proofErr w:type="gramEnd"/>
      <w:r w:rsidRPr="001224C1">
        <w:rPr>
          <w:rFonts w:cstheme="minorHAnsi"/>
        </w:rPr>
        <w:t xml:space="preserve"> les </w:t>
      </w:r>
      <w:hyperlink r:id="rId17" w:history="1">
        <w:r w:rsidRPr="001224C1">
          <w:rPr>
            <w:rStyle w:val="Hyperlink"/>
            <w:rFonts w:cstheme="minorHAnsi"/>
            <w:color w:val="0066CC"/>
          </w:rPr>
          <w:t>pharmacies participantes</w:t>
        </w:r>
      </w:hyperlink>
      <w:r w:rsidRPr="001224C1">
        <w:rPr>
          <w:rFonts w:cstheme="minorHAnsi"/>
        </w:rPr>
        <w:t>;</w:t>
      </w:r>
    </w:p>
    <w:p w14:paraId="56801480" w14:textId="77777777"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color w:val="1A1A1A"/>
        </w:rPr>
        <w:t>dans</w:t>
      </w:r>
      <w:proofErr w:type="gramEnd"/>
      <w:r w:rsidRPr="001224C1">
        <w:rPr>
          <w:rFonts w:cstheme="minorHAnsi"/>
          <w:color w:val="1A1A1A"/>
        </w:rPr>
        <w:t xml:space="preserve"> certains établissements de soins primaires;</w:t>
      </w:r>
    </w:p>
    <w:p w14:paraId="0A9F6871" w14:textId="77777777"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color w:val="1A1A1A"/>
        </w:rPr>
        <w:t>dans</w:t>
      </w:r>
      <w:proofErr w:type="gramEnd"/>
      <w:r w:rsidRPr="001224C1">
        <w:rPr>
          <w:rFonts w:cstheme="minorHAnsi"/>
          <w:color w:val="1A1A1A"/>
        </w:rPr>
        <w:t xml:space="preserve"> les cliniques d’hôpital (consultez votre hôpital local ou bureau de santé publique pour obtenir des détails, si ces cliniques sont offertes dans votre région);</w:t>
      </w:r>
    </w:p>
    <w:p w14:paraId="207666C8" w14:textId="77777777" w:rsidR="00173120" w:rsidRPr="001224C1" w:rsidRDefault="00173120" w:rsidP="00173120">
      <w:pPr>
        <w:numPr>
          <w:ilvl w:val="0"/>
          <w:numId w:val="10"/>
        </w:numPr>
        <w:shd w:val="clear" w:color="auto" w:fill="FFFFFF"/>
        <w:spacing w:after="120"/>
        <w:rPr>
          <w:rFonts w:cstheme="minorHAnsi"/>
          <w:color w:val="1A1A1A"/>
        </w:rPr>
      </w:pPr>
      <w:proofErr w:type="gramStart"/>
      <w:r w:rsidRPr="001224C1">
        <w:rPr>
          <w:rFonts w:cstheme="minorHAnsi"/>
          <w:color w:val="1A1A1A"/>
        </w:rPr>
        <w:t>dans</w:t>
      </w:r>
      <w:proofErr w:type="gramEnd"/>
      <w:r w:rsidRPr="001224C1">
        <w:rPr>
          <w:rFonts w:cstheme="minorHAnsi"/>
          <w:color w:val="1A1A1A"/>
        </w:rPr>
        <w:t xml:space="preserve"> des cliniques mobiles ou éphémères (consultez le site Web du bureau de santé publique de votre région pour obtenir des détails, si ces cliniques sont offertes dans votre région);</w:t>
      </w:r>
    </w:p>
    <w:p w14:paraId="7951D52E" w14:textId="77777777" w:rsidR="00173120" w:rsidRPr="001224C1" w:rsidRDefault="000C13FA" w:rsidP="00173120">
      <w:pPr>
        <w:numPr>
          <w:ilvl w:val="0"/>
          <w:numId w:val="10"/>
        </w:numPr>
        <w:shd w:val="clear" w:color="auto" w:fill="FFFFFF"/>
        <w:spacing w:after="120"/>
        <w:rPr>
          <w:rFonts w:cstheme="minorHAnsi"/>
          <w:color w:val="1A1A1A"/>
        </w:rPr>
      </w:pPr>
      <w:proofErr w:type="gramStart"/>
      <w:r w:rsidRPr="001224C1">
        <w:rPr>
          <w:rFonts w:cstheme="minorHAnsi"/>
        </w:rPr>
        <w:t>dans</w:t>
      </w:r>
      <w:proofErr w:type="gramEnd"/>
      <w:r w:rsidRPr="001224C1">
        <w:rPr>
          <w:rFonts w:cstheme="minorHAnsi"/>
        </w:rPr>
        <w:t xml:space="preserve"> l’</w:t>
      </w:r>
      <w:hyperlink r:id="rId18" w:history="1">
        <w:r w:rsidRPr="001224C1">
          <w:rPr>
            <w:rStyle w:val="Hyperlink"/>
            <w:rFonts w:cstheme="minorHAnsi"/>
            <w:color w:val="0066CC"/>
          </w:rPr>
          <w:t>autobus GO-VAXX</w:t>
        </w:r>
      </w:hyperlink>
      <w:r w:rsidRPr="001224C1">
        <w:rPr>
          <w:rFonts w:cstheme="minorHAnsi"/>
        </w:rPr>
        <w:t>.</w:t>
      </w:r>
      <w:r w:rsidRPr="001224C1">
        <w:rPr>
          <w:rFonts w:cstheme="minorHAnsi"/>
          <w:color w:val="1A1A1A"/>
        </w:rPr>
        <w:t> </w:t>
      </w:r>
    </w:p>
    <w:p w14:paraId="7385FA2E" w14:textId="5FC567BF" w:rsidR="00173120" w:rsidRPr="001224C1" w:rsidRDefault="006D3BCE" w:rsidP="00C9144F">
      <w:pPr>
        <w:shd w:val="clear" w:color="auto" w:fill="FFFFFF"/>
        <w:spacing w:after="120"/>
        <w:rPr>
          <w:rFonts w:cstheme="minorHAnsi"/>
          <w:color w:val="1A1A1A"/>
        </w:rPr>
      </w:pPr>
      <w:r w:rsidRPr="001224C1">
        <w:rPr>
          <w:rFonts w:cstheme="minorHAnsi"/>
          <w:color w:val="1A1A1A"/>
        </w:rPr>
        <w:t>Certains bureaux de santé publique et pharmacies acceptent maintenant les personnes qui se présentent sans rendez-vous.  Veuillez consulter le site Web de chaque emplacement de vaccination pour de plus amples renseignements.</w:t>
      </w:r>
    </w:p>
    <w:sectPr w:rsidR="00173120" w:rsidRPr="001224C1">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3EAD7" w14:textId="77777777" w:rsidR="00DD076D" w:rsidRDefault="00DD076D" w:rsidP="00F72078">
      <w:pPr>
        <w:spacing w:after="0" w:line="240" w:lineRule="auto"/>
      </w:pPr>
      <w:r>
        <w:separator/>
      </w:r>
    </w:p>
  </w:endnote>
  <w:endnote w:type="continuationSeparator" w:id="0">
    <w:p w14:paraId="71504432" w14:textId="77777777" w:rsidR="00DD076D" w:rsidRDefault="00DD076D" w:rsidP="00F72078">
      <w:pPr>
        <w:spacing w:after="0" w:line="240" w:lineRule="auto"/>
      </w:pPr>
      <w:r>
        <w:continuationSeparator/>
      </w:r>
    </w:p>
  </w:endnote>
  <w:endnote w:type="continuationNotice" w:id="1">
    <w:p w14:paraId="735A47CE" w14:textId="77777777" w:rsidR="00DD076D" w:rsidRDefault="00DD0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D0C6"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CBC0"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B033"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C8DD" w14:textId="77777777" w:rsidR="00DD076D" w:rsidRDefault="00DD076D" w:rsidP="00F72078">
      <w:pPr>
        <w:spacing w:after="0" w:line="240" w:lineRule="auto"/>
      </w:pPr>
      <w:r>
        <w:separator/>
      </w:r>
    </w:p>
  </w:footnote>
  <w:footnote w:type="continuationSeparator" w:id="0">
    <w:p w14:paraId="192A4B36" w14:textId="77777777" w:rsidR="00DD076D" w:rsidRDefault="00DD076D" w:rsidP="00F72078">
      <w:pPr>
        <w:spacing w:after="0" w:line="240" w:lineRule="auto"/>
      </w:pPr>
      <w:r>
        <w:continuationSeparator/>
      </w:r>
    </w:p>
  </w:footnote>
  <w:footnote w:type="continuationNotice" w:id="1">
    <w:p w14:paraId="7909243D" w14:textId="77777777" w:rsidR="00DD076D" w:rsidRDefault="00DD0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453F"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241"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5633"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0DA5"/>
    <w:multiLevelType w:val="hybridMultilevel"/>
    <w:tmpl w:val="280E01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0AA753F"/>
    <w:multiLevelType w:val="hybridMultilevel"/>
    <w:tmpl w:val="9BF80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F4810EB"/>
    <w:multiLevelType w:val="multilevel"/>
    <w:tmpl w:val="874E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B1E49"/>
    <w:multiLevelType w:val="multilevel"/>
    <w:tmpl w:val="36444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9151A"/>
    <w:multiLevelType w:val="hybridMultilevel"/>
    <w:tmpl w:val="7332A1D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38D6E16"/>
    <w:multiLevelType w:val="multilevel"/>
    <w:tmpl w:val="4162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0F0BA1"/>
    <w:multiLevelType w:val="hybridMultilevel"/>
    <w:tmpl w:val="740A0C0E"/>
    <w:lvl w:ilvl="0" w:tplc="10090001">
      <w:start w:val="1"/>
      <w:numFmt w:val="bullet"/>
      <w:lvlText w:val=""/>
      <w:lvlJc w:val="left"/>
      <w:pPr>
        <w:ind w:left="717" w:hanging="360"/>
      </w:pPr>
      <w:rPr>
        <w:rFonts w:ascii="Symbol" w:hAnsi="Symbol" w:hint="default"/>
      </w:rPr>
    </w:lvl>
    <w:lvl w:ilvl="1" w:tplc="10090003">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7" w15:restartNumberingAfterBreak="0">
    <w:nsid w:val="56164950"/>
    <w:multiLevelType w:val="hybridMultilevel"/>
    <w:tmpl w:val="7F6CB3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84302B"/>
    <w:multiLevelType w:val="hybridMultilevel"/>
    <w:tmpl w:val="57BAE2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AC13747"/>
    <w:multiLevelType w:val="hybridMultilevel"/>
    <w:tmpl w:val="994EDC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CD2BC6"/>
    <w:multiLevelType w:val="hybridMultilevel"/>
    <w:tmpl w:val="13D06C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3CC3BEA"/>
    <w:multiLevelType w:val="hybridMultilevel"/>
    <w:tmpl w:val="A2C63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5423939">
    <w:abstractNumId w:val="1"/>
  </w:num>
  <w:num w:numId="2" w16cid:durableId="237637256">
    <w:abstractNumId w:val="9"/>
  </w:num>
  <w:num w:numId="3" w16cid:durableId="1984847507">
    <w:abstractNumId w:val="7"/>
  </w:num>
  <w:num w:numId="4" w16cid:durableId="968164905">
    <w:abstractNumId w:val="4"/>
  </w:num>
  <w:num w:numId="5" w16cid:durableId="554657418">
    <w:abstractNumId w:val="8"/>
  </w:num>
  <w:num w:numId="6" w16cid:durableId="987241935">
    <w:abstractNumId w:val="11"/>
  </w:num>
  <w:num w:numId="7" w16cid:durableId="1279721967">
    <w:abstractNumId w:val="2"/>
  </w:num>
  <w:num w:numId="8" w16cid:durableId="683481317">
    <w:abstractNumId w:val="3"/>
  </w:num>
  <w:num w:numId="9" w16cid:durableId="1785928171">
    <w:abstractNumId w:val="6"/>
  </w:num>
  <w:num w:numId="10" w16cid:durableId="1329017821">
    <w:abstractNumId w:val="5"/>
  </w:num>
  <w:num w:numId="11" w16cid:durableId="756555538">
    <w:abstractNumId w:val="0"/>
  </w:num>
  <w:num w:numId="12" w16cid:durableId="1949773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2E"/>
    <w:rsid w:val="00007D77"/>
    <w:rsid w:val="00011540"/>
    <w:rsid w:val="00023E08"/>
    <w:rsid w:val="000316A9"/>
    <w:rsid w:val="00032A9F"/>
    <w:rsid w:val="00034FC6"/>
    <w:rsid w:val="000360A5"/>
    <w:rsid w:val="00036EED"/>
    <w:rsid w:val="0004492C"/>
    <w:rsid w:val="00055AED"/>
    <w:rsid w:val="0005726F"/>
    <w:rsid w:val="000642AA"/>
    <w:rsid w:val="00066CD7"/>
    <w:rsid w:val="00070E3F"/>
    <w:rsid w:val="00071C31"/>
    <w:rsid w:val="000723C5"/>
    <w:rsid w:val="00076B51"/>
    <w:rsid w:val="00082B0D"/>
    <w:rsid w:val="00086380"/>
    <w:rsid w:val="000A0119"/>
    <w:rsid w:val="000A207B"/>
    <w:rsid w:val="000B457C"/>
    <w:rsid w:val="000C13FA"/>
    <w:rsid w:val="000E3459"/>
    <w:rsid w:val="000E665D"/>
    <w:rsid w:val="000F3E7A"/>
    <w:rsid w:val="001224C1"/>
    <w:rsid w:val="00126AA7"/>
    <w:rsid w:val="00136A11"/>
    <w:rsid w:val="00146355"/>
    <w:rsid w:val="00150101"/>
    <w:rsid w:val="00157B7A"/>
    <w:rsid w:val="00160126"/>
    <w:rsid w:val="00163348"/>
    <w:rsid w:val="0017149C"/>
    <w:rsid w:val="00173120"/>
    <w:rsid w:val="00180C60"/>
    <w:rsid w:val="001830D2"/>
    <w:rsid w:val="001835C9"/>
    <w:rsid w:val="0019536B"/>
    <w:rsid w:val="001A0446"/>
    <w:rsid w:val="001A274A"/>
    <w:rsid w:val="001B1560"/>
    <w:rsid w:val="001C1D75"/>
    <w:rsid w:val="001C25A1"/>
    <w:rsid w:val="001C37B4"/>
    <w:rsid w:val="001C761A"/>
    <w:rsid w:val="001D57BB"/>
    <w:rsid w:val="001E0F3E"/>
    <w:rsid w:val="001E3CBC"/>
    <w:rsid w:val="001E5EE5"/>
    <w:rsid w:val="001F0B9B"/>
    <w:rsid w:val="001F129E"/>
    <w:rsid w:val="001F6189"/>
    <w:rsid w:val="0020252A"/>
    <w:rsid w:val="0020342B"/>
    <w:rsid w:val="00210D39"/>
    <w:rsid w:val="00213989"/>
    <w:rsid w:val="0021779D"/>
    <w:rsid w:val="0022332D"/>
    <w:rsid w:val="00225BE4"/>
    <w:rsid w:val="002309D5"/>
    <w:rsid w:val="002317DA"/>
    <w:rsid w:val="00232532"/>
    <w:rsid w:val="00240CC5"/>
    <w:rsid w:val="002456BD"/>
    <w:rsid w:val="002534EE"/>
    <w:rsid w:val="00254A7F"/>
    <w:rsid w:val="002621A4"/>
    <w:rsid w:val="00264167"/>
    <w:rsid w:val="002736F0"/>
    <w:rsid w:val="002778D1"/>
    <w:rsid w:val="00277B6C"/>
    <w:rsid w:val="00280A99"/>
    <w:rsid w:val="00286DBB"/>
    <w:rsid w:val="00296A6A"/>
    <w:rsid w:val="002975F6"/>
    <w:rsid w:val="002A37F1"/>
    <w:rsid w:val="002C482C"/>
    <w:rsid w:val="002D6FE5"/>
    <w:rsid w:val="002E41F4"/>
    <w:rsid w:val="002E6FF6"/>
    <w:rsid w:val="002F2954"/>
    <w:rsid w:val="002F5306"/>
    <w:rsid w:val="002F77AA"/>
    <w:rsid w:val="002F7BD2"/>
    <w:rsid w:val="00302C86"/>
    <w:rsid w:val="00311BEA"/>
    <w:rsid w:val="003156FE"/>
    <w:rsid w:val="00317F1F"/>
    <w:rsid w:val="0032458F"/>
    <w:rsid w:val="00344FB7"/>
    <w:rsid w:val="00350EB6"/>
    <w:rsid w:val="00350EBD"/>
    <w:rsid w:val="0036309D"/>
    <w:rsid w:val="00363E1A"/>
    <w:rsid w:val="0036413B"/>
    <w:rsid w:val="00392AC3"/>
    <w:rsid w:val="00392D71"/>
    <w:rsid w:val="003B43F5"/>
    <w:rsid w:val="003B76C9"/>
    <w:rsid w:val="003B7DDA"/>
    <w:rsid w:val="003C0162"/>
    <w:rsid w:val="003C60DC"/>
    <w:rsid w:val="003D635B"/>
    <w:rsid w:val="003E10A9"/>
    <w:rsid w:val="003E3441"/>
    <w:rsid w:val="003E3A2C"/>
    <w:rsid w:val="00400955"/>
    <w:rsid w:val="00404C1A"/>
    <w:rsid w:val="0041260E"/>
    <w:rsid w:val="004277BA"/>
    <w:rsid w:val="00440654"/>
    <w:rsid w:val="004604EE"/>
    <w:rsid w:val="00462FCE"/>
    <w:rsid w:val="00477C91"/>
    <w:rsid w:val="004802FD"/>
    <w:rsid w:val="004855DE"/>
    <w:rsid w:val="00487378"/>
    <w:rsid w:val="004A2238"/>
    <w:rsid w:val="004A392D"/>
    <w:rsid w:val="004A5DB8"/>
    <w:rsid w:val="004A7F3D"/>
    <w:rsid w:val="004B0EBA"/>
    <w:rsid w:val="004B347D"/>
    <w:rsid w:val="004B69F7"/>
    <w:rsid w:val="004E5EAD"/>
    <w:rsid w:val="004F1B03"/>
    <w:rsid w:val="004F20C3"/>
    <w:rsid w:val="004F6215"/>
    <w:rsid w:val="005066E2"/>
    <w:rsid w:val="00523F92"/>
    <w:rsid w:val="005253F5"/>
    <w:rsid w:val="00527CC6"/>
    <w:rsid w:val="005426FC"/>
    <w:rsid w:val="00554A43"/>
    <w:rsid w:val="00562DDD"/>
    <w:rsid w:val="00573218"/>
    <w:rsid w:val="00575E85"/>
    <w:rsid w:val="0057735C"/>
    <w:rsid w:val="00596FDC"/>
    <w:rsid w:val="00597D82"/>
    <w:rsid w:val="005B1715"/>
    <w:rsid w:val="005B51DF"/>
    <w:rsid w:val="005B681F"/>
    <w:rsid w:val="005C034E"/>
    <w:rsid w:val="005C73F0"/>
    <w:rsid w:val="005D1354"/>
    <w:rsid w:val="005D4390"/>
    <w:rsid w:val="005E3CBF"/>
    <w:rsid w:val="0062374F"/>
    <w:rsid w:val="00623DA9"/>
    <w:rsid w:val="00624B02"/>
    <w:rsid w:val="00637365"/>
    <w:rsid w:val="0064345C"/>
    <w:rsid w:val="006469DF"/>
    <w:rsid w:val="00657CE7"/>
    <w:rsid w:val="00664976"/>
    <w:rsid w:val="00682C3B"/>
    <w:rsid w:val="00683371"/>
    <w:rsid w:val="00695E04"/>
    <w:rsid w:val="0069774D"/>
    <w:rsid w:val="006A09A3"/>
    <w:rsid w:val="006A1DDA"/>
    <w:rsid w:val="006C6EC6"/>
    <w:rsid w:val="006C7751"/>
    <w:rsid w:val="006D128E"/>
    <w:rsid w:val="006D3BCE"/>
    <w:rsid w:val="006D44A9"/>
    <w:rsid w:val="006D72AA"/>
    <w:rsid w:val="00715A61"/>
    <w:rsid w:val="00730138"/>
    <w:rsid w:val="007376A4"/>
    <w:rsid w:val="00754956"/>
    <w:rsid w:val="0076230D"/>
    <w:rsid w:val="00767151"/>
    <w:rsid w:val="007707B1"/>
    <w:rsid w:val="00775528"/>
    <w:rsid w:val="007839F5"/>
    <w:rsid w:val="00794C32"/>
    <w:rsid w:val="007B15DE"/>
    <w:rsid w:val="007B6586"/>
    <w:rsid w:val="007C548B"/>
    <w:rsid w:val="007D6DDD"/>
    <w:rsid w:val="007E1404"/>
    <w:rsid w:val="007E667C"/>
    <w:rsid w:val="007F5EEB"/>
    <w:rsid w:val="0081340A"/>
    <w:rsid w:val="00816B56"/>
    <w:rsid w:val="008437BB"/>
    <w:rsid w:val="00865F5F"/>
    <w:rsid w:val="00871F72"/>
    <w:rsid w:val="00876CC8"/>
    <w:rsid w:val="008824BF"/>
    <w:rsid w:val="00893203"/>
    <w:rsid w:val="0089461B"/>
    <w:rsid w:val="008953A8"/>
    <w:rsid w:val="008977B3"/>
    <w:rsid w:val="008A277E"/>
    <w:rsid w:val="008A3CCA"/>
    <w:rsid w:val="008A672D"/>
    <w:rsid w:val="008B5EB4"/>
    <w:rsid w:val="008B6994"/>
    <w:rsid w:val="008B6B6F"/>
    <w:rsid w:val="008B7461"/>
    <w:rsid w:val="008C5E85"/>
    <w:rsid w:val="008E0401"/>
    <w:rsid w:val="008E6E64"/>
    <w:rsid w:val="008F04A9"/>
    <w:rsid w:val="008F2D84"/>
    <w:rsid w:val="0090145D"/>
    <w:rsid w:val="00917B9F"/>
    <w:rsid w:val="009246D8"/>
    <w:rsid w:val="00963008"/>
    <w:rsid w:val="009636A9"/>
    <w:rsid w:val="00982B27"/>
    <w:rsid w:val="00983EC8"/>
    <w:rsid w:val="00995753"/>
    <w:rsid w:val="009A21B1"/>
    <w:rsid w:val="009B1D63"/>
    <w:rsid w:val="009B65DE"/>
    <w:rsid w:val="009C467E"/>
    <w:rsid w:val="009E033E"/>
    <w:rsid w:val="00A0300B"/>
    <w:rsid w:val="00A06263"/>
    <w:rsid w:val="00A15B1F"/>
    <w:rsid w:val="00A439C9"/>
    <w:rsid w:val="00A4736E"/>
    <w:rsid w:val="00A5005B"/>
    <w:rsid w:val="00A65CBC"/>
    <w:rsid w:val="00A65F28"/>
    <w:rsid w:val="00A678CF"/>
    <w:rsid w:val="00A70C29"/>
    <w:rsid w:val="00A736FD"/>
    <w:rsid w:val="00A838AE"/>
    <w:rsid w:val="00A91D2E"/>
    <w:rsid w:val="00A95ABF"/>
    <w:rsid w:val="00A963FC"/>
    <w:rsid w:val="00AA0D49"/>
    <w:rsid w:val="00AB5A0C"/>
    <w:rsid w:val="00AC2D54"/>
    <w:rsid w:val="00AC5BB5"/>
    <w:rsid w:val="00AD2F13"/>
    <w:rsid w:val="00AD4E65"/>
    <w:rsid w:val="00AD71CE"/>
    <w:rsid w:val="00AE5959"/>
    <w:rsid w:val="00AF6FD6"/>
    <w:rsid w:val="00B16CD6"/>
    <w:rsid w:val="00B20A62"/>
    <w:rsid w:val="00B2189A"/>
    <w:rsid w:val="00B2781C"/>
    <w:rsid w:val="00B30890"/>
    <w:rsid w:val="00B42F7C"/>
    <w:rsid w:val="00B47E41"/>
    <w:rsid w:val="00B51AD6"/>
    <w:rsid w:val="00B93223"/>
    <w:rsid w:val="00B94E56"/>
    <w:rsid w:val="00BB6566"/>
    <w:rsid w:val="00BC3C77"/>
    <w:rsid w:val="00BD6CA8"/>
    <w:rsid w:val="00BE7948"/>
    <w:rsid w:val="00C029AC"/>
    <w:rsid w:val="00C23686"/>
    <w:rsid w:val="00C24F36"/>
    <w:rsid w:val="00C27EDA"/>
    <w:rsid w:val="00C35239"/>
    <w:rsid w:val="00C442F5"/>
    <w:rsid w:val="00C635A7"/>
    <w:rsid w:val="00C70E2C"/>
    <w:rsid w:val="00C844B1"/>
    <w:rsid w:val="00C861C3"/>
    <w:rsid w:val="00C90E1F"/>
    <w:rsid w:val="00C90FCD"/>
    <w:rsid w:val="00C9144F"/>
    <w:rsid w:val="00C928B5"/>
    <w:rsid w:val="00C93AB7"/>
    <w:rsid w:val="00CA34F5"/>
    <w:rsid w:val="00CA4EA0"/>
    <w:rsid w:val="00CB109C"/>
    <w:rsid w:val="00CB7CEC"/>
    <w:rsid w:val="00CC034D"/>
    <w:rsid w:val="00CC4CAD"/>
    <w:rsid w:val="00CD3BA5"/>
    <w:rsid w:val="00D10968"/>
    <w:rsid w:val="00D114AA"/>
    <w:rsid w:val="00D15147"/>
    <w:rsid w:val="00D2641B"/>
    <w:rsid w:val="00D33C47"/>
    <w:rsid w:val="00D35404"/>
    <w:rsid w:val="00D45867"/>
    <w:rsid w:val="00D47401"/>
    <w:rsid w:val="00D51AC5"/>
    <w:rsid w:val="00D55A46"/>
    <w:rsid w:val="00D65209"/>
    <w:rsid w:val="00D75CE7"/>
    <w:rsid w:val="00D83F89"/>
    <w:rsid w:val="00D84686"/>
    <w:rsid w:val="00D85947"/>
    <w:rsid w:val="00DA0BC1"/>
    <w:rsid w:val="00DB3B20"/>
    <w:rsid w:val="00DB6337"/>
    <w:rsid w:val="00DB75D5"/>
    <w:rsid w:val="00DC37C8"/>
    <w:rsid w:val="00DD076D"/>
    <w:rsid w:val="00DF405C"/>
    <w:rsid w:val="00E151FB"/>
    <w:rsid w:val="00E41D28"/>
    <w:rsid w:val="00E433DD"/>
    <w:rsid w:val="00E62157"/>
    <w:rsid w:val="00E651C9"/>
    <w:rsid w:val="00E66407"/>
    <w:rsid w:val="00E75892"/>
    <w:rsid w:val="00E80860"/>
    <w:rsid w:val="00E81F14"/>
    <w:rsid w:val="00E9316D"/>
    <w:rsid w:val="00E941FC"/>
    <w:rsid w:val="00EA025F"/>
    <w:rsid w:val="00EA2690"/>
    <w:rsid w:val="00EA6238"/>
    <w:rsid w:val="00EB56A8"/>
    <w:rsid w:val="00EE188A"/>
    <w:rsid w:val="00EE612E"/>
    <w:rsid w:val="00F03EAB"/>
    <w:rsid w:val="00F0545F"/>
    <w:rsid w:val="00F17B57"/>
    <w:rsid w:val="00F523DC"/>
    <w:rsid w:val="00F5646E"/>
    <w:rsid w:val="00F600D9"/>
    <w:rsid w:val="00F61F85"/>
    <w:rsid w:val="00F64D4C"/>
    <w:rsid w:val="00F72078"/>
    <w:rsid w:val="00F85186"/>
    <w:rsid w:val="00F86839"/>
    <w:rsid w:val="00F958D0"/>
    <w:rsid w:val="00F97CAD"/>
    <w:rsid w:val="00FA62DB"/>
    <w:rsid w:val="00FB061C"/>
    <w:rsid w:val="00FB11EB"/>
    <w:rsid w:val="00FD5292"/>
    <w:rsid w:val="00FD5F16"/>
    <w:rsid w:val="00FD60D0"/>
    <w:rsid w:val="00FE1BB8"/>
    <w:rsid w:val="00FE363E"/>
    <w:rsid w:val="00FF2991"/>
    <w:rsid w:val="02CFB7D0"/>
    <w:rsid w:val="0545E659"/>
    <w:rsid w:val="067D9CA6"/>
    <w:rsid w:val="09031EDB"/>
    <w:rsid w:val="0ADAC9B5"/>
    <w:rsid w:val="0EDB8DC8"/>
    <w:rsid w:val="0EECC89F"/>
    <w:rsid w:val="1395D68E"/>
    <w:rsid w:val="16CD7750"/>
    <w:rsid w:val="17878363"/>
    <w:rsid w:val="187A8288"/>
    <w:rsid w:val="1882700E"/>
    <w:rsid w:val="22295254"/>
    <w:rsid w:val="23C522B5"/>
    <w:rsid w:val="295A0611"/>
    <w:rsid w:val="31FBEA8D"/>
    <w:rsid w:val="3838CB3F"/>
    <w:rsid w:val="38F27FA1"/>
    <w:rsid w:val="39781761"/>
    <w:rsid w:val="3AC10885"/>
    <w:rsid w:val="3B0BFA3C"/>
    <w:rsid w:val="4E507177"/>
    <w:rsid w:val="5771BBFD"/>
    <w:rsid w:val="58F46401"/>
    <w:rsid w:val="5CD4D5FF"/>
    <w:rsid w:val="64C6BF87"/>
    <w:rsid w:val="66AD819F"/>
    <w:rsid w:val="6A4A2B9E"/>
    <w:rsid w:val="6A7BF4F8"/>
    <w:rsid w:val="6A83E27E"/>
    <w:rsid w:val="71045ED9"/>
    <w:rsid w:val="7527D508"/>
    <w:rsid w:val="7A0333B1"/>
    <w:rsid w:val="7A1AC101"/>
    <w:rsid w:val="7CFD5EED"/>
    <w:rsid w:val="7D3AD4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60B169"/>
  <w15:chartTrackingRefBased/>
  <w15:docId w15:val="{153AC0A3-FE36-4ABC-8DDD-2464DA95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aliases w:val="Lettre d'introduction,List Paragraph1,List Paragraph - bullets,Unordered List Level 1,Dot pt,F5 List Paragraph,List Paragraph Char Char Char,Indicator Text,Numbered Para 1,Bullet 1,Bullet Points,List Paragraph2,MAIN CONTENT,Bullet list,L"/>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customStyle="1" w:styleId="ListParagraphChar">
    <w:name w:val="List Paragraph Char"/>
    <w:aliases w:val="Lettre d'introduction Char,List Paragraph1 Char,List Paragraph - bullets Char,Unordered List Level 1 Char,Dot pt Char,F5 List Paragraph Char,List Paragraph Char Char Char Char,Indicator Text Char,Numbered Para 1 Char,Bullet 1 Char"/>
    <w:basedOn w:val="DefaultParagraphFont"/>
    <w:link w:val="ListParagraph"/>
    <w:uiPriority w:val="34"/>
    <w:locked/>
    <w:rsid w:val="00EE612E"/>
    <w:rPr>
      <w:sz w:val="24"/>
    </w:rPr>
  </w:style>
  <w:style w:type="character" w:styleId="CommentReference">
    <w:name w:val="annotation reference"/>
    <w:basedOn w:val="DefaultParagraphFont"/>
    <w:uiPriority w:val="99"/>
    <w:semiHidden/>
    <w:unhideWhenUsed/>
    <w:rsid w:val="00EE612E"/>
    <w:rPr>
      <w:sz w:val="16"/>
      <w:szCs w:val="16"/>
    </w:rPr>
  </w:style>
  <w:style w:type="paragraph" w:styleId="CommentText">
    <w:name w:val="annotation text"/>
    <w:basedOn w:val="Normal"/>
    <w:link w:val="CommentTextChar"/>
    <w:uiPriority w:val="99"/>
    <w:semiHidden/>
    <w:unhideWhenUsed/>
    <w:rsid w:val="00EE612E"/>
    <w:pPr>
      <w:spacing w:line="240" w:lineRule="auto"/>
    </w:pPr>
    <w:rPr>
      <w:sz w:val="20"/>
      <w:szCs w:val="20"/>
    </w:rPr>
  </w:style>
  <w:style w:type="character" w:customStyle="1" w:styleId="CommentTextChar">
    <w:name w:val="Comment Text Char"/>
    <w:basedOn w:val="DefaultParagraphFont"/>
    <w:link w:val="CommentText"/>
    <w:uiPriority w:val="99"/>
    <w:semiHidden/>
    <w:rsid w:val="00EE612E"/>
    <w:rPr>
      <w:sz w:val="20"/>
      <w:szCs w:val="20"/>
    </w:rPr>
  </w:style>
  <w:style w:type="character" w:styleId="Hyperlink">
    <w:name w:val="Hyperlink"/>
    <w:basedOn w:val="DefaultParagraphFont"/>
    <w:uiPriority w:val="99"/>
    <w:unhideWhenUsed/>
    <w:rsid w:val="00EE612E"/>
    <w:rPr>
      <w:color w:val="5F5F5F" w:themeColor="hyperlink"/>
      <w:u w:val="single"/>
    </w:rPr>
  </w:style>
  <w:style w:type="character" w:styleId="UnresolvedMention">
    <w:name w:val="Unresolved Mention"/>
    <w:basedOn w:val="DefaultParagraphFont"/>
    <w:uiPriority w:val="99"/>
    <w:semiHidden/>
    <w:unhideWhenUsed/>
    <w:rsid w:val="00EE612E"/>
    <w:rPr>
      <w:color w:val="605E5C"/>
      <w:shd w:val="clear" w:color="auto" w:fill="E1DFDD"/>
    </w:rPr>
  </w:style>
  <w:style w:type="paragraph" w:styleId="NormalWeb">
    <w:name w:val="Normal (Web)"/>
    <w:basedOn w:val="Normal"/>
    <w:uiPriority w:val="99"/>
    <w:unhideWhenUsed/>
    <w:rsid w:val="00523F92"/>
    <w:pPr>
      <w:spacing w:before="100" w:beforeAutospacing="1" w:after="100" w:afterAutospacing="1" w:line="240" w:lineRule="auto"/>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6C6EC6"/>
    <w:rPr>
      <w:color w:val="919191" w:themeColor="followedHyperlink"/>
      <w:u w:val="single"/>
    </w:rPr>
  </w:style>
  <w:style w:type="paragraph" w:styleId="CommentSubject">
    <w:name w:val="annotation subject"/>
    <w:basedOn w:val="CommentText"/>
    <w:next w:val="CommentText"/>
    <w:link w:val="CommentSubjectChar"/>
    <w:uiPriority w:val="99"/>
    <w:semiHidden/>
    <w:unhideWhenUsed/>
    <w:rsid w:val="00D10968"/>
    <w:rPr>
      <w:b/>
      <w:bCs/>
    </w:rPr>
  </w:style>
  <w:style w:type="character" w:customStyle="1" w:styleId="CommentSubjectChar">
    <w:name w:val="Comment Subject Char"/>
    <w:basedOn w:val="CommentTextChar"/>
    <w:link w:val="CommentSubject"/>
    <w:uiPriority w:val="99"/>
    <w:semiHidden/>
    <w:rsid w:val="00D10968"/>
    <w:rPr>
      <w:b/>
      <w:bCs/>
      <w:sz w:val="20"/>
      <w:szCs w:val="20"/>
    </w:rPr>
  </w:style>
  <w:style w:type="paragraph" w:styleId="Revision">
    <w:name w:val="Revision"/>
    <w:hidden/>
    <w:uiPriority w:val="99"/>
    <w:semiHidden/>
    <w:rsid w:val="000C13FA"/>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130">
      <w:bodyDiv w:val="1"/>
      <w:marLeft w:val="0"/>
      <w:marRight w:val="0"/>
      <w:marTop w:val="0"/>
      <w:marBottom w:val="0"/>
      <w:divBdr>
        <w:top w:val="none" w:sz="0" w:space="0" w:color="auto"/>
        <w:left w:val="none" w:sz="0" w:space="0" w:color="auto"/>
        <w:bottom w:val="none" w:sz="0" w:space="0" w:color="auto"/>
        <w:right w:val="none" w:sz="0" w:space="0" w:color="auto"/>
      </w:divBdr>
    </w:div>
    <w:div w:id="360397155">
      <w:bodyDiv w:val="1"/>
      <w:marLeft w:val="0"/>
      <w:marRight w:val="0"/>
      <w:marTop w:val="0"/>
      <w:marBottom w:val="0"/>
      <w:divBdr>
        <w:top w:val="none" w:sz="0" w:space="0" w:color="auto"/>
        <w:left w:val="none" w:sz="0" w:space="0" w:color="auto"/>
        <w:bottom w:val="none" w:sz="0" w:space="0" w:color="auto"/>
        <w:right w:val="none" w:sz="0" w:space="0" w:color="auto"/>
      </w:divBdr>
    </w:div>
    <w:div w:id="812867229">
      <w:bodyDiv w:val="1"/>
      <w:marLeft w:val="0"/>
      <w:marRight w:val="0"/>
      <w:marTop w:val="0"/>
      <w:marBottom w:val="0"/>
      <w:divBdr>
        <w:top w:val="none" w:sz="0" w:space="0" w:color="auto"/>
        <w:left w:val="none" w:sz="0" w:space="0" w:color="auto"/>
        <w:bottom w:val="none" w:sz="0" w:space="0" w:color="auto"/>
        <w:right w:val="none" w:sz="0" w:space="0" w:color="auto"/>
      </w:divBdr>
    </w:div>
    <w:div w:id="1744177671">
      <w:bodyDiv w:val="1"/>
      <w:marLeft w:val="0"/>
      <w:marRight w:val="0"/>
      <w:marTop w:val="0"/>
      <w:marBottom w:val="0"/>
      <w:divBdr>
        <w:top w:val="none" w:sz="0" w:space="0" w:color="auto"/>
        <w:left w:val="none" w:sz="0" w:space="0" w:color="auto"/>
        <w:bottom w:val="none" w:sz="0" w:space="0" w:color="auto"/>
        <w:right w:val="none" w:sz="0" w:space="0" w:color="auto"/>
      </w:divBdr>
    </w:div>
    <w:div w:id="198549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ontario.ca/fr/se-faire-vacciner-contre-la-covid-19" TargetMode="External"/><Relationship Id="rId18" Type="http://schemas.openxmlformats.org/officeDocument/2006/relationships/hyperlink" Target="https://www.ontario.ca/fr/page/horaire-des-autobus-go-vax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on.ca/fr/pro/programs/publichealth/coronavirus/docs/vaccine/COVID-19_vaccine_third_dose_recommendations.pdf" TargetMode="External"/><Relationship Id="rId17" Type="http://schemas.openxmlformats.org/officeDocument/2006/relationships/hyperlink" Target="https://covid-19.ontario.ca/emplacements-pour-la-vaccin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hdapps.health.gov.on.ca/phulocator/fr/Default.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on.ca/fr/pro/programs/publichealth/coronavirus/docs/vaccine/COVID-19_vaccine_third_dose_recommendations.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tel:+18339433900"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ontario.ca/rendezvous-vaccin/"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7BA85BFD3493742B84694CCE173BFCF" ma:contentTypeVersion="11" ma:contentTypeDescription="Create a new document." ma:contentTypeScope="" ma:versionID="54c47e0dc7d885d3c5ddba8c3ef8db56">
  <xsd:schema xmlns:xsd="http://www.w3.org/2001/XMLSchema" xmlns:xs="http://www.w3.org/2001/XMLSchema" xmlns:p="http://schemas.microsoft.com/office/2006/metadata/properties" xmlns:ns2="4c6eb557-a32f-48fd-873d-e0ecdb0600cb" xmlns:ns3="c9dfdbd7-729e-4593-98d1-bf661c82a95d" targetNamespace="http://schemas.microsoft.com/office/2006/metadata/properties" ma:root="true" ma:fieldsID="89ef828c2d9902288257400264ed05f6" ns2:_="" ns3:_="">
    <xsd:import namespace="4c6eb557-a32f-48fd-873d-e0ecdb0600cb"/>
    <xsd:import namespace="c9dfdbd7-729e-4593-98d1-bf661c82a9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eb557-a32f-48fd-873d-e0ecdb0600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fdbd7-729e-4593-98d1-bf661c82a9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EEAD9-96D1-4F51-8AC7-6B293595C7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13711-2D3D-4365-B363-73BDCCA3FA7A}">
  <ds:schemaRefs>
    <ds:schemaRef ds:uri="http://schemas.openxmlformats.org/officeDocument/2006/bibliography"/>
  </ds:schemaRefs>
</ds:datastoreItem>
</file>

<file path=customXml/itemProps3.xml><?xml version="1.0" encoding="utf-8"?>
<ds:datastoreItem xmlns:ds="http://schemas.openxmlformats.org/officeDocument/2006/customXml" ds:itemID="{BB509CAE-943C-4EFA-9E0D-9E989789E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eb557-a32f-48fd-873d-e0ecdb0600cb"/>
    <ds:schemaRef ds:uri="c9dfdbd7-729e-4593-98d1-bf661c82a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10E8A-A30F-46F7-8C18-E5188C07EB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Links>
    <vt:vector size="48" baseType="variant">
      <vt:variant>
        <vt:i4>5963871</vt:i4>
      </vt:variant>
      <vt:variant>
        <vt:i4>21</vt:i4>
      </vt:variant>
      <vt:variant>
        <vt:i4>0</vt:i4>
      </vt:variant>
      <vt:variant>
        <vt:i4>5</vt:i4>
      </vt:variant>
      <vt:variant>
        <vt:lpwstr>https://www.ontario.ca/page/go-vaxx-bus-schedule</vt:lpwstr>
      </vt:variant>
      <vt:variant>
        <vt:lpwstr/>
      </vt:variant>
      <vt:variant>
        <vt:i4>65546</vt:i4>
      </vt:variant>
      <vt:variant>
        <vt:i4>18</vt:i4>
      </vt:variant>
      <vt:variant>
        <vt:i4>0</vt:i4>
      </vt:variant>
      <vt:variant>
        <vt:i4>5</vt:i4>
      </vt:variant>
      <vt:variant>
        <vt:lpwstr>https://covid-19.ontario.ca/vaccine-locations</vt:lpwstr>
      </vt:variant>
      <vt:variant>
        <vt:lpwstr/>
      </vt:variant>
      <vt:variant>
        <vt:i4>262150</vt:i4>
      </vt:variant>
      <vt:variant>
        <vt:i4>15</vt:i4>
      </vt:variant>
      <vt:variant>
        <vt:i4>0</vt:i4>
      </vt:variant>
      <vt:variant>
        <vt:i4>5</vt:i4>
      </vt:variant>
      <vt:variant>
        <vt:lpwstr>https://www.phdapps.health.gov.on.ca/phulocator/</vt:lpwstr>
      </vt:variant>
      <vt:variant>
        <vt:lpwstr/>
      </vt:variant>
      <vt:variant>
        <vt:i4>6160399</vt:i4>
      </vt:variant>
      <vt:variant>
        <vt:i4>12</vt:i4>
      </vt:variant>
      <vt:variant>
        <vt:i4>0</vt:i4>
      </vt:variant>
      <vt:variant>
        <vt:i4>5</vt:i4>
      </vt:variant>
      <vt:variant>
        <vt:lpwstr>tel:+18339433900</vt:lpwstr>
      </vt:variant>
      <vt:variant>
        <vt:lpwstr/>
      </vt:variant>
      <vt:variant>
        <vt:i4>6029324</vt:i4>
      </vt:variant>
      <vt:variant>
        <vt:i4>9</vt:i4>
      </vt:variant>
      <vt:variant>
        <vt:i4>0</vt:i4>
      </vt:variant>
      <vt:variant>
        <vt:i4>5</vt:i4>
      </vt:variant>
      <vt:variant>
        <vt:lpwstr>https://covid19.ontariohealth.ca/</vt:lpwstr>
      </vt:variant>
      <vt:variant>
        <vt:lpwstr/>
      </vt:variant>
      <vt:variant>
        <vt:i4>1441820</vt:i4>
      </vt:variant>
      <vt:variant>
        <vt:i4>6</vt:i4>
      </vt:variant>
      <vt:variant>
        <vt:i4>0</vt:i4>
      </vt:variant>
      <vt:variant>
        <vt:i4>5</vt:i4>
      </vt:variant>
      <vt:variant>
        <vt:lpwstr>https://covid-19.ontario.ca/getting-covid-19-vaccine</vt:lpwstr>
      </vt:variant>
      <vt:variant>
        <vt:lpwstr>where-to-get-your-vaccine</vt:lpwstr>
      </vt:variant>
      <vt:variant>
        <vt:i4>1441865</vt:i4>
      </vt:variant>
      <vt:variant>
        <vt:i4>3</vt:i4>
      </vt:variant>
      <vt:variant>
        <vt:i4>0</vt:i4>
      </vt:variant>
      <vt:variant>
        <vt:i4>5</vt:i4>
      </vt:variant>
      <vt:variant>
        <vt:lpwstr>https://www.health.gov.on.ca/en/pro/programs/publichealth/coronavirus/docs/vaccine/COVID-19_vaccine_third_dose_recommendations.pdf</vt:lpwstr>
      </vt:variant>
      <vt:variant>
        <vt:lpwstr/>
      </vt:variant>
      <vt:variant>
        <vt:i4>1441865</vt:i4>
      </vt:variant>
      <vt:variant>
        <vt:i4>0</vt:i4>
      </vt:variant>
      <vt:variant>
        <vt:i4>0</vt:i4>
      </vt:variant>
      <vt:variant>
        <vt:i4>5</vt:i4>
      </vt:variant>
      <vt:variant>
        <vt:lpwstr>https://www.health.gov.on.ca/en/pro/programs/publichealth/coronavirus/docs/vaccine/COVID-19_vaccine_third_dose_recommendations.pdf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Vicki (MOH)</dc:creator>
  <cp:keywords/>
  <dc:description/>
  <cp:lastModifiedBy>Annie Garneau</cp:lastModifiedBy>
  <cp:revision>40</cp:revision>
  <dcterms:created xsi:type="dcterms:W3CDTF">2022-04-08T18:15:00Z</dcterms:created>
  <dcterms:modified xsi:type="dcterms:W3CDTF">2022-05-03T18:16:00Z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2022-02-09T20:41:10Z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4e560a29-a01c-4629-a81b-885c29984010</vt:lpwstr>
  </property>
  <property fmtid="{D5CDD505-2E9C-101B-9397-08002B2CF9AE}" pid="8" name="MSIP_Label_034a106e-6316-442c-ad35-738afd673d2b_ContentBits">
    <vt:lpwstr>0</vt:lpwstr>
  </property>
  <property fmtid="{D5CDD505-2E9C-101B-9397-08002B2CF9AE}" pid="9" name="ContentTypeId">
    <vt:lpwstr>0x010100B7BA85BFD3493742B84694CCE173BFCF</vt:lpwstr>
  </property>
</Properties>
</file>