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AEB25" w14:textId="5D6068BE" w:rsidR="007B1DA8" w:rsidRDefault="007B1DA8" w:rsidP="007B1DA8">
      <w:pPr>
        <w:pStyle w:val="Default"/>
        <w:rPr>
          <w:sz w:val="28"/>
          <w:szCs w:val="28"/>
        </w:rPr>
      </w:pPr>
      <w:r>
        <w:rPr>
          <w:b/>
          <w:bCs/>
          <w:sz w:val="28"/>
          <w:szCs w:val="28"/>
        </w:rPr>
        <w:t xml:space="preserve">Ministry of Health </w:t>
      </w:r>
    </w:p>
    <w:p w14:paraId="772BAE19" w14:textId="77777777" w:rsidR="007B1DA8" w:rsidRDefault="007B1DA8" w:rsidP="007B1DA8">
      <w:pPr>
        <w:pStyle w:val="Default"/>
        <w:rPr>
          <w:color w:val="auto"/>
        </w:rPr>
      </w:pPr>
    </w:p>
    <w:p w14:paraId="61C2F61B" w14:textId="18B8B19F" w:rsidR="007B1DA8" w:rsidRDefault="007B1DA8" w:rsidP="006359B9">
      <w:pPr>
        <w:pStyle w:val="Title"/>
      </w:pPr>
      <w:r>
        <w:t xml:space="preserve">Call for Applications </w:t>
      </w:r>
      <w:r w:rsidR="006359B9">
        <w:t xml:space="preserve">to create </w:t>
      </w:r>
      <w:r>
        <w:t xml:space="preserve">a Patient Digital Identity, Authentication and Authorization (IAA) </w:t>
      </w:r>
      <w:r w:rsidR="006359B9">
        <w:t>service</w:t>
      </w:r>
    </w:p>
    <w:p w14:paraId="0F6861EC" w14:textId="77777777" w:rsidR="007B1DA8" w:rsidRDefault="007B1DA8" w:rsidP="007B1DA8"/>
    <w:p w14:paraId="328154BB" w14:textId="77777777" w:rsidR="00FE0DA9" w:rsidRDefault="00FE0DA9" w:rsidP="00FE0DA9">
      <w:pPr>
        <w:pStyle w:val="Default"/>
      </w:pPr>
    </w:p>
    <w:p w14:paraId="269C540A" w14:textId="77777777" w:rsidR="00FE0DA9" w:rsidRDefault="00FE0DA9" w:rsidP="00227679"/>
    <w:p w14:paraId="5650CFC2" w14:textId="77777777" w:rsidR="00FE0DA9" w:rsidRDefault="00FE0DA9" w:rsidP="00227679"/>
    <w:p w14:paraId="753F344B" w14:textId="77777777" w:rsidR="00FE0DA9" w:rsidRDefault="00FE0DA9" w:rsidP="00227679"/>
    <w:p w14:paraId="14C613E4" w14:textId="77777777" w:rsidR="00FE0DA9" w:rsidRDefault="00FE0DA9" w:rsidP="00227679"/>
    <w:p w14:paraId="0DF5C203" w14:textId="77777777" w:rsidR="00FE0DA9" w:rsidRDefault="00FE0DA9" w:rsidP="00227679"/>
    <w:p w14:paraId="282098B3" w14:textId="77777777" w:rsidR="00FE0DA9" w:rsidRDefault="00FE0DA9" w:rsidP="00227679"/>
    <w:p w14:paraId="058ED9EE" w14:textId="77777777" w:rsidR="00FE0DA9" w:rsidRDefault="00FE0DA9" w:rsidP="00227679"/>
    <w:p w14:paraId="544B3D33" w14:textId="77777777" w:rsidR="00FE0DA9" w:rsidRDefault="00FE0DA9" w:rsidP="00227679"/>
    <w:p w14:paraId="6577C124" w14:textId="77777777" w:rsidR="00FE0DA9" w:rsidRDefault="00FE0DA9" w:rsidP="00227679"/>
    <w:p w14:paraId="3E396655" w14:textId="77777777" w:rsidR="00FE0DA9" w:rsidRDefault="00FE0DA9" w:rsidP="00227679"/>
    <w:p w14:paraId="3B17A611" w14:textId="77777777" w:rsidR="00FE0DA9" w:rsidRDefault="00FE0DA9" w:rsidP="00227679"/>
    <w:p w14:paraId="154AB631" w14:textId="77777777" w:rsidR="00FE0DA9" w:rsidRDefault="00FE0DA9" w:rsidP="00227679"/>
    <w:p w14:paraId="6E3C2B5F" w14:textId="77777777" w:rsidR="00FE0DA9" w:rsidRDefault="00FE0DA9" w:rsidP="00227679"/>
    <w:p w14:paraId="1558D6D9" w14:textId="77777777" w:rsidR="00FE0DA9" w:rsidRDefault="00FE0DA9" w:rsidP="00227679"/>
    <w:p w14:paraId="0C36F5B6" w14:textId="77777777" w:rsidR="00FE0DA9" w:rsidRDefault="00FE0DA9" w:rsidP="00227679"/>
    <w:p w14:paraId="337D0768" w14:textId="05AEB371" w:rsidR="00FE0DA9" w:rsidRDefault="00FA3F01" w:rsidP="00516918">
      <w:pPr>
        <w:pStyle w:val="Subtitle"/>
        <w:rPr>
          <w:sz w:val="23"/>
          <w:szCs w:val="23"/>
        </w:rPr>
      </w:pPr>
      <w:r>
        <w:t>July</w:t>
      </w:r>
      <w:r w:rsidR="00FE0DA9">
        <w:t xml:space="preserve"> 2019</w:t>
      </w:r>
      <w:r w:rsidR="00FE0DA9">
        <w:rPr>
          <w:sz w:val="23"/>
          <w:szCs w:val="23"/>
        </w:rPr>
        <w:t xml:space="preserve"> </w:t>
      </w:r>
    </w:p>
    <w:p w14:paraId="5E91F4C6" w14:textId="77777777" w:rsidR="00FE0DA9" w:rsidRDefault="00FE0DA9" w:rsidP="00227679"/>
    <w:p w14:paraId="20684186" w14:textId="77777777" w:rsidR="006A7AF8" w:rsidRDefault="006A7AF8" w:rsidP="00227679"/>
    <w:p w14:paraId="5AA6733E" w14:textId="77777777" w:rsidR="00DF4041" w:rsidRDefault="00DF4041" w:rsidP="00DF4041"/>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62614" w14:paraId="17B644BA" w14:textId="77777777" w:rsidTr="00862614">
        <w:tc>
          <w:tcPr>
            <w:tcW w:w="9350" w:type="dxa"/>
          </w:tcPr>
          <w:p w14:paraId="3E9FE8E4" w14:textId="77777777" w:rsidR="00862614" w:rsidRDefault="00862614" w:rsidP="00862614">
            <w:r>
              <w:t>This page intentionally left blank</w:t>
            </w:r>
          </w:p>
        </w:tc>
      </w:tr>
      <w:tr w:rsidR="00862614" w14:paraId="6BFE25B9" w14:textId="77777777" w:rsidTr="00862614">
        <w:tc>
          <w:tcPr>
            <w:tcW w:w="9350" w:type="dxa"/>
          </w:tcPr>
          <w:p w14:paraId="46775B80" w14:textId="77777777" w:rsidR="00862614" w:rsidRDefault="00862614" w:rsidP="00862614"/>
        </w:tc>
      </w:tr>
      <w:tr w:rsidR="00862614" w14:paraId="09488658" w14:textId="77777777" w:rsidTr="00862614">
        <w:tc>
          <w:tcPr>
            <w:tcW w:w="9350" w:type="dxa"/>
          </w:tcPr>
          <w:p w14:paraId="0FFA1D73" w14:textId="77777777" w:rsidR="00862614" w:rsidRDefault="00862614" w:rsidP="00862614"/>
        </w:tc>
      </w:tr>
    </w:tbl>
    <w:p w14:paraId="3E568EF9" w14:textId="77777777" w:rsidR="00DF4041" w:rsidRDefault="00DF4041" w:rsidP="00DF4041"/>
    <w:p w14:paraId="19B7B85B" w14:textId="77777777" w:rsidR="00862614" w:rsidRDefault="00862614">
      <w:r>
        <w:br w:type="page"/>
      </w:r>
    </w:p>
    <w:sdt>
      <w:sdtPr>
        <w:rPr>
          <w:rFonts w:asciiTheme="minorHAnsi" w:eastAsiaTheme="minorHAnsi" w:hAnsiTheme="minorHAnsi" w:cstheme="minorBidi"/>
          <w:b w:val="0"/>
          <w:bCs w:val="0"/>
          <w:sz w:val="24"/>
          <w:szCs w:val="22"/>
          <w:lang w:bidi="ar-SA"/>
        </w:rPr>
        <w:id w:val="-1944365718"/>
        <w:docPartObj>
          <w:docPartGallery w:val="Table of Contents"/>
          <w:docPartUnique/>
        </w:docPartObj>
      </w:sdtPr>
      <w:sdtEndPr>
        <w:rPr>
          <w:noProof/>
        </w:rPr>
      </w:sdtEndPr>
      <w:sdtContent>
        <w:p w14:paraId="382842FE" w14:textId="29577932" w:rsidR="007C58CC" w:rsidRDefault="00C2269C">
          <w:pPr>
            <w:pStyle w:val="TOCHeading"/>
          </w:pPr>
          <w:r>
            <w:rPr>
              <w:rFonts w:asciiTheme="minorHAnsi" w:eastAsiaTheme="minorHAnsi" w:hAnsiTheme="minorHAnsi" w:cstheme="minorBidi"/>
              <w:b w:val="0"/>
              <w:bCs w:val="0"/>
              <w:sz w:val="24"/>
              <w:szCs w:val="22"/>
              <w:lang w:bidi="ar-SA"/>
            </w:rPr>
            <w:br/>
          </w:r>
          <w:r>
            <w:rPr>
              <w:rFonts w:asciiTheme="minorHAnsi" w:eastAsiaTheme="minorHAnsi" w:hAnsiTheme="minorHAnsi" w:cstheme="minorBidi"/>
              <w:b w:val="0"/>
              <w:bCs w:val="0"/>
              <w:sz w:val="24"/>
              <w:szCs w:val="22"/>
              <w:lang w:bidi="ar-SA"/>
            </w:rPr>
            <w:br/>
          </w:r>
          <w:r w:rsidR="007C58CC">
            <w:t>Table of Contents</w:t>
          </w:r>
          <w:r w:rsidR="00101919">
            <w:br/>
          </w:r>
        </w:p>
        <w:p w14:paraId="37C0717A" w14:textId="18D37732" w:rsidR="00AF37E2" w:rsidRDefault="007C58CC" w:rsidP="00AF37E2">
          <w:pPr>
            <w:pStyle w:val="TOC1"/>
            <w:rPr>
              <w:rFonts w:eastAsiaTheme="minorEastAsia"/>
              <w:noProof/>
              <w:sz w:val="22"/>
              <w:lang w:eastAsia="en-CA"/>
            </w:rPr>
          </w:pPr>
          <w:r>
            <w:rPr>
              <w:b/>
              <w:bCs/>
              <w:noProof/>
            </w:rPr>
            <w:fldChar w:fldCharType="begin"/>
          </w:r>
          <w:r>
            <w:rPr>
              <w:b/>
              <w:bCs/>
              <w:noProof/>
            </w:rPr>
            <w:instrText xml:space="preserve"> TOC \o "1-3" \h \z \u </w:instrText>
          </w:r>
          <w:r>
            <w:rPr>
              <w:b/>
              <w:bCs/>
              <w:noProof/>
            </w:rPr>
            <w:fldChar w:fldCharType="separate"/>
          </w:r>
          <w:hyperlink w:anchor="_Toc13242959" w:history="1">
            <w:r w:rsidR="00AF37E2" w:rsidRPr="00C34C1F">
              <w:rPr>
                <w:rStyle w:val="Hyperlink"/>
                <w:noProof/>
              </w:rPr>
              <w:t>1.</w:t>
            </w:r>
            <w:r w:rsidR="00AF37E2">
              <w:rPr>
                <w:rFonts w:eastAsiaTheme="minorEastAsia"/>
                <w:noProof/>
                <w:sz w:val="22"/>
                <w:lang w:eastAsia="en-CA"/>
              </w:rPr>
              <w:tab/>
            </w:r>
            <w:r w:rsidR="00AF37E2" w:rsidRPr="00C34C1F">
              <w:rPr>
                <w:rStyle w:val="Hyperlink"/>
                <w:noProof/>
              </w:rPr>
              <w:t>Overview of the Call for Applications</w:t>
            </w:r>
            <w:r w:rsidR="00AF37E2">
              <w:rPr>
                <w:noProof/>
                <w:webHidden/>
              </w:rPr>
              <w:tab/>
            </w:r>
            <w:r w:rsidR="00AF37E2">
              <w:rPr>
                <w:noProof/>
                <w:webHidden/>
              </w:rPr>
              <w:fldChar w:fldCharType="begin"/>
            </w:r>
            <w:r w:rsidR="00AF37E2">
              <w:rPr>
                <w:noProof/>
                <w:webHidden/>
              </w:rPr>
              <w:instrText xml:space="preserve"> PAGEREF _Toc13242959 \h </w:instrText>
            </w:r>
            <w:r w:rsidR="00AF37E2">
              <w:rPr>
                <w:noProof/>
                <w:webHidden/>
              </w:rPr>
            </w:r>
            <w:r w:rsidR="00AF37E2">
              <w:rPr>
                <w:noProof/>
                <w:webHidden/>
              </w:rPr>
              <w:fldChar w:fldCharType="separate"/>
            </w:r>
            <w:r w:rsidR="00AF37E2">
              <w:rPr>
                <w:noProof/>
                <w:webHidden/>
              </w:rPr>
              <w:t>4</w:t>
            </w:r>
            <w:r w:rsidR="00AF37E2">
              <w:rPr>
                <w:noProof/>
                <w:webHidden/>
              </w:rPr>
              <w:fldChar w:fldCharType="end"/>
            </w:r>
          </w:hyperlink>
        </w:p>
        <w:p w14:paraId="6CCE2112" w14:textId="77863E23" w:rsidR="00AF37E2" w:rsidRDefault="00D21A04">
          <w:pPr>
            <w:pStyle w:val="TOC2"/>
            <w:rPr>
              <w:rFonts w:eastAsiaTheme="minorEastAsia"/>
              <w:noProof/>
              <w:sz w:val="22"/>
              <w:lang w:eastAsia="en-CA"/>
            </w:rPr>
          </w:pPr>
          <w:hyperlink w:anchor="_Toc13242960" w:history="1">
            <w:r w:rsidR="00AF37E2" w:rsidRPr="00C34C1F">
              <w:rPr>
                <w:rStyle w:val="Hyperlink"/>
                <w:noProof/>
              </w:rPr>
              <w:t>1.1 Submitting an Application for Funding</w:t>
            </w:r>
            <w:r w:rsidR="00AF37E2">
              <w:rPr>
                <w:noProof/>
                <w:webHidden/>
              </w:rPr>
              <w:tab/>
            </w:r>
            <w:r w:rsidR="00AF37E2">
              <w:rPr>
                <w:noProof/>
                <w:webHidden/>
              </w:rPr>
              <w:fldChar w:fldCharType="begin"/>
            </w:r>
            <w:r w:rsidR="00AF37E2">
              <w:rPr>
                <w:noProof/>
                <w:webHidden/>
              </w:rPr>
              <w:instrText xml:space="preserve"> PAGEREF _Toc13242960 \h </w:instrText>
            </w:r>
            <w:r w:rsidR="00AF37E2">
              <w:rPr>
                <w:noProof/>
                <w:webHidden/>
              </w:rPr>
            </w:r>
            <w:r w:rsidR="00AF37E2">
              <w:rPr>
                <w:noProof/>
                <w:webHidden/>
              </w:rPr>
              <w:fldChar w:fldCharType="separate"/>
            </w:r>
            <w:r w:rsidR="00AF37E2">
              <w:rPr>
                <w:noProof/>
                <w:webHidden/>
              </w:rPr>
              <w:t>4</w:t>
            </w:r>
            <w:r w:rsidR="00AF37E2">
              <w:rPr>
                <w:noProof/>
                <w:webHidden/>
              </w:rPr>
              <w:fldChar w:fldCharType="end"/>
            </w:r>
          </w:hyperlink>
        </w:p>
        <w:p w14:paraId="3AD7A1E1" w14:textId="7863E820" w:rsidR="00AF37E2" w:rsidRDefault="00D21A04">
          <w:pPr>
            <w:pStyle w:val="TOC2"/>
            <w:rPr>
              <w:rFonts w:eastAsiaTheme="minorEastAsia"/>
              <w:noProof/>
              <w:sz w:val="22"/>
              <w:lang w:eastAsia="en-CA"/>
            </w:rPr>
          </w:pPr>
          <w:hyperlink w:anchor="_Toc13242961" w:history="1">
            <w:r w:rsidR="00AF37E2" w:rsidRPr="00C34C1F">
              <w:rPr>
                <w:rStyle w:val="Hyperlink"/>
                <w:noProof/>
              </w:rPr>
              <w:t>1.2 Eligibility</w:t>
            </w:r>
            <w:r w:rsidR="00AF37E2">
              <w:rPr>
                <w:noProof/>
                <w:webHidden/>
              </w:rPr>
              <w:tab/>
            </w:r>
            <w:r w:rsidR="00AF37E2">
              <w:rPr>
                <w:noProof/>
                <w:webHidden/>
              </w:rPr>
              <w:fldChar w:fldCharType="begin"/>
            </w:r>
            <w:r w:rsidR="00AF37E2">
              <w:rPr>
                <w:noProof/>
                <w:webHidden/>
              </w:rPr>
              <w:instrText xml:space="preserve"> PAGEREF _Toc13242961 \h </w:instrText>
            </w:r>
            <w:r w:rsidR="00AF37E2">
              <w:rPr>
                <w:noProof/>
                <w:webHidden/>
              </w:rPr>
            </w:r>
            <w:r w:rsidR="00AF37E2">
              <w:rPr>
                <w:noProof/>
                <w:webHidden/>
              </w:rPr>
              <w:fldChar w:fldCharType="separate"/>
            </w:r>
            <w:r w:rsidR="00AF37E2">
              <w:rPr>
                <w:noProof/>
                <w:webHidden/>
              </w:rPr>
              <w:t>4</w:t>
            </w:r>
            <w:r w:rsidR="00AF37E2">
              <w:rPr>
                <w:noProof/>
                <w:webHidden/>
              </w:rPr>
              <w:fldChar w:fldCharType="end"/>
            </w:r>
          </w:hyperlink>
        </w:p>
        <w:p w14:paraId="7D6A15C4" w14:textId="1C86D96B" w:rsidR="00AF37E2" w:rsidRDefault="00D21A04" w:rsidP="00AF37E2">
          <w:pPr>
            <w:pStyle w:val="TOC1"/>
            <w:rPr>
              <w:rFonts w:eastAsiaTheme="minorEastAsia"/>
              <w:noProof/>
              <w:sz w:val="22"/>
              <w:lang w:eastAsia="en-CA"/>
            </w:rPr>
          </w:pPr>
          <w:hyperlink w:anchor="_Toc13242962" w:history="1">
            <w:r w:rsidR="00AF37E2" w:rsidRPr="00C34C1F">
              <w:rPr>
                <w:rStyle w:val="Hyperlink"/>
                <w:noProof/>
              </w:rPr>
              <w:t>2.</w:t>
            </w:r>
            <w:r w:rsidR="00AF37E2">
              <w:rPr>
                <w:rFonts w:eastAsiaTheme="minorEastAsia"/>
                <w:noProof/>
                <w:sz w:val="22"/>
                <w:lang w:eastAsia="en-CA"/>
              </w:rPr>
              <w:tab/>
            </w:r>
            <w:r w:rsidR="00AF37E2" w:rsidRPr="00C34C1F">
              <w:rPr>
                <w:rStyle w:val="Hyperlink"/>
                <w:noProof/>
              </w:rPr>
              <w:t>Provincial Context</w:t>
            </w:r>
            <w:r w:rsidR="00AF37E2">
              <w:rPr>
                <w:noProof/>
                <w:webHidden/>
              </w:rPr>
              <w:tab/>
            </w:r>
            <w:r w:rsidR="00AF37E2">
              <w:rPr>
                <w:noProof/>
                <w:webHidden/>
              </w:rPr>
              <w:fldChar w:fldCharType="begin"/>
            </w:r>
            <w:r w:rsidR="00AF37E2">
              <w:rPr>
                <w:noProof/>
                <w:webHidden/>
              </w:rPr>
              <w:instrText xml:space="preserve"> PAGEREF _Toc13242962 \h </w:instrText>
            </w:r>
            <w:r w:rsidR="00AF37E2">
              <w:rPr>
                <w:noProof/>
                <w:webHidden/>
              </w:rPr>
            </w:r>
            <w:r w:rsidR="00AF37E2">
              <w:rPr>
                <w:noProof/>
                <w:webHidden/>
              </w:rPr>
              <w:fldChar w:fldCharType="separate"/>
            </w:r>
            <w:r w:rsidR="00AF37E2">
              <w:rPr>
                <w:noProof/>
                <w:webHidden/>
              </w:rPr>
              <w:t>5</w:t>
            </w:r>
            <w:r w:rsidR="00AF37E2">
              <w:rPr>
                <w:noProof/>
                <w:webHidden/>
              </w:rPr>
              <w:fldChar w:fldCharType="end"/>
            </w:r>
          </w:hyperlink>
        </w:p>
        <w:p w14:paraId="69D20905" w14:textId="5DA67618" w:rsidR="00AF37E2" w:rsidRDefault="00D21A04" w:rsidP="00AF37E2">
          <w:pPr>
            <w:pStyle w:val="TOC1"/>
            <w:rPr>
              <w:rFonts w:eastAsiaTheme="minorEastAsia"/>
              <w:noProof/>
              <w:sz w:val="22"/>
              <w:lang w:eastAsia="en-CA"/>
            </w:rPr>
          </w:pPr>
          <w:hyperlink w:anchor="_Toc13242963" w:history="1">
            <w:r w:rsidR="00AF37E2" w:rsidRPr="00C34C1F">
              <w:rPr>
                <w:rStyle w:val="Hyperlink"/>
                <w:noProof/>
              </w:rPr>
              <w:t>3.</w:t>
            </w:r>
            <w:r w:rsidR="00AF37E2">
              <w:rPr>
                <w:rFonts w:eastAsiaTheme="minorEastAsia"/>
                <w:noProof/>
                <w:sz w:val="22"/>
                <w:lang w:eastAsia="en-CA"/>
              </w:rPr>
              <w:tab/>
            </w:r>
            <w:r w:rsidR="00AF37E2" w:rsidRPr="00C34C1F">
              <w:rPr>
                <w:rStyle w:val="Hyperlink"/>
                <w:noProof/>
              </w:rPr>
              <w:t>Project goals and outputs for a patient digital IAA service</w:t>
            </w:r>
            <w:r w:rsidR="00AF37E2">
              <w:rPr>
                <w:noProof/>
                <w:webHidden/>
              </w:rPr>
              <w:tab/>
            </w:r>
            <w:r w:rsidR="00AF37E2">
              <w:rPr>
                <w:noProof/>
                <w:webHidden/>
              </w:rPr>
              <w:fldChar w:fldCharType="begin"/>
            </w:r>
            <w:r w:rsidR="00AF37E2">
              <w:rPr>
                <w:noProof/>
                <w:webHidden/>
              </w:rPr>
              <w:instrText xml:space="preserve"> PAGEREF _Toc13242963 \h </w:instrText>
            </w:r>
            <w:r w:rsidR="00AF37E2">
              <w:rPr>
                <w:noProof/>
                <w:webHidden/>
              </w:rPr>
            </w:r>
            <w:r w:rsidR="00AF37E2">
              <w:rPr>
                <w:noProof/>
                <w:webHidden/>
              </w:rPr>
              <w:fldChar w:fldCharType="separate"/>
            </w:r>
            <w:r w:rsidR="00AF37E2">
              <w:rPr>
                <w:noProof/>
                <w:webHidden/>
              </w:rPr>
              <w:t>7</w:t>
            </w:r>
            <w:r w:rsidR="00AF37E2">
              <w:rPr>
                <w:noProof/>
                <w:webHidden/>
              </w:rPr>
              <w:fldChar w:fldCharType="end"/>
            </w:r>
          </w:hyperlink>
        </w:p>
        <w:p w14:paraId="39B0F8BB" w14:textId="00309575" w:rsidR="00AF37E2" w:rsidRDefault="00D21A04">
          <w:pPr>
            <w:pStyle w:val="TOC2"/>
            <w:rPr>
              <w:rFonts w:eastAsiaTheme="minorEastAsia"/>
              <w:noProof/>
              <w:sz w:val="22"/>
              <w:lang w:eastAsia="en-CA"/>
            </w:rPr>
          </w:pPr>
          <w:hyperlink w:anchor="_Toc13242964" w:history="1">
            <w:r w:rsidR="00AF37E2" w:rsidRPr="00C34C1F">
              <w:rPr>
                <w:rStyle w:val="Hyperlink"/>
                <w:noProof/>
              </w:rPr>
              <w:t>3.1 Project goals</w:t>
            </w:r>
            <w:r w:rsidR="00AF37E2">
              <w:rPr>
                <w:noProof/>
                <w:webHidden/>
              </w:rPr>
              <w:tab/>
            </w:r>
            <w:r w:rsidR="00AF37E2">
              <w:rPr>
                <w:noProof/>
                <w:webHidden/>
              </w:rPr>
              <w:fldChar w:fldCharType="begin"/>
            </w:r>
            <w:r w:rsidR="00AF37E2">
              <w:rPr>
                <w:noProof/>
                <w:webHidden/>
              </w:rPr>
              <w:instrText xml:space="preserve"> PAGEREF _Toc13242964 \h </w:instrText>
            </w:r>
            <w:r w:rsidR="00AF37E2">
              <w:rPr>
                <w:noProof/>
                <w:webHidden/>
              </w:rPr>
            </w:r>
            <w:r w:rsidR="00AF37E2">
              <w:rPr>
                <w:noProof/>
                <w:webHidden/>
              </w:rPr>
              <w:fldChar w:fldCharType="separate"/>
            </w:r>
            <w:r w:rsidR="00AF37E2">
              <w:rPr>
                <w:noProof/>
                <w:webHidden/>
              </w:rPr>
              <w:t>8</w:t>
            </w:r>
            <w:r w:rsidR="00AF37E2">
              <w:rPr>
                <w:noProof/>
                <w:webHidden/>
              </w:rPr>
              <w:fldChar w:fldCharType="end"/>
            </w:r>
          </w:hyperlink>
        </w:p>
        <w:p w14:paraId="5542F7B2" w14:textId="26A59F61" w:rsidR="00AF37E2" w:rsidRDefault="00D21A04">
          <w:pPr>
            <w:pStyle w:val="TOC2"/>
            <w:rPr>
              <w:rFonts w:eastAsiaTheme="minorEastAsia"/>
              <w:noProof/>
              <w:sz w:val="22"/>
              <w:lang w:eastAsia="en-CA"/>
            </w:rPr>
          </w:pPr>
          <w:hyperlink w:anchor="_Toc13242965" w:history="1">
            <w:r w:rsidR="00AF37E2" w:rsidRPr="00C34C1F">
              <w:rPr>
                <w:rStyle w:val="Hyperlink"/>
                <w:noProof/>
              </w:rPr>
              <w:t>3.2 Project outputs</w:t>
            </w:r>
            <w:r w:rsidR="00AF37E2">
              <w:rPr>
                <w:noProof/>
                <w:webHidden/>
              </w:rPr>
              <w:tab/>
            </w:r>
            <w:r w:rsidR="00AF37E2">
              <w:rPr>
                <w:noProof/>
                <w:webHidden/>
              </w:rPr>
              <w:fldChar w:fldCharType="begin"/>
            </w:r>
            <w:r w:rsidR="00AF37E2">
              <w:rPr>
                <w:noProof/>
                <w:webHidden/>
              </w:rPr>
              <w:instrText xml:space="preserve"> PAGEREF _Toc13242965 \h </w:instrText>
            </w:r>
            <w:r w:rsidR="00AF37E2">
              <w:rPr>
                <w:noProof/>
                <w:webHidden/>
              </w:rPr>
            </w:r>
            <w:r w:rsidR="00AF37E2">
              <w:rPr>
                <w:noProof/>
                <w:webHidden/>
              </w:rPr>
              <w:fldChar w:fldCharType="separate"/>
            </w:r>
            <w:r w:rsidR="00AF37E2">
              <w:rPr>
                <w:noProof/>
                <w:webHidden/>
              </w:rPr>
              <w:t>9</w:t>
            </w:r>
            <w:r w:rsidR="00AF37E2">
              <w:rPr>
                <w:noProof/>
                <w:webHidden/>
              </w:rPr>
              <w:fldChar w:fldCharType="end"/>
            </w:r>
          </w:hyperlink>
        </w:p>
        <w:p w14:paraId="052558BC" w14:textId="748E2284" w:rsidR="00AF37E2" w:rsidRDefault="00D21A04">
          <w:pPr>
            <w:pStyle w:val="TOC2"/>
            <w:rPr>
              <w:rFonts w:eastAsiaTheme="minorEastAsia"/>
              <w:noProof/>
              <w:sz w:val="22"/>
              <w:lang w:eastAsia="en-CA"/>
            </w:rPr>
          </w:pPr>
          <w:hyperlink w:anchor="_Toc13242966" w:history="1">
            <w:r w:rsidR="00AF37E2" w:rsidRPr="00C34C1F">
              <w:rPr>
                <w:rStyle w:val="Hyperlink"/>
                <w:noProof/>
              </w:rPr>
              <w:t>3.3 Project teams and the role of the Lead Organization</w:t>
            </w:r>
            <w:r w:rsidR="00AF37E2">
              <w:rPr>
                <w:noProof/>
                <w:webHidden/>
              </w:rPr>
              <w:tab/>
            </w:r>
            <w:r w:rsidR="00AF37E2">
              <w:rPr>
                <w:noProof/>
                <w:webHidden/>
              </w:rPr>
              <w:fldChar w:fldCharType="begin"/>
            </w:r>
            <w:r w:rsidR="00AF37E2">
              <w:rPr>
                <w:noProof/>
                <w:webHidden/>
              </w:rPr>
              <w:instrText xml:space="preserve"> PAGEREF _Toc13242966 \h </w:instrText>
            </w:r>
            <w:r w:rsidR="00AF37E2">
              <w:rPr>
                <w:noProof/>
                <w:webHidden/>
              </w:rPr>
            </w:r>
            <w:r w:rsidR="00AF37E2">
              <w:rPr>
                <w:noProof/>
                <w:webHidden/>
              </w:rPr>
              <w:fldChar w:fldCharType="separate"/>
            </w:r>
            <w:r w:rsidR="00AF37E2">
              <w:rPr>
                <w:noProof/>
                <w:webHidden/>
              </w:rPr>
              <w:t>9</w:t>
            </w:r>
            <w:r w:rsidR="00AF37E2">
              <w:rPr>
                <w:noProof/>
                <w:webHidden/>
              </w:rPr>
              <w:fldChar w:fldCharType="end"/>
            </w:r>
          </w:hyperlink>
        </w:p>
        <w:p w14:paraId="04C9DB73" w14:textId="2F943F03" w:rsidR="00AF37E2" w:rsidRDefault="00D21A04">
          <w:pPr>
            <w:pStyle w:val="TOC2"/>
            <w:rPr>
              <w:rFonts w:eastAsiaTheme="minorEastAsia"/>
              <w:noProof/>
              <w:sz w:val="22"/>
              <w:lang w:eastAsia="en-CA"/>
            </w:rPr>
          </w:pPr>
          <w:hyperlink w:anchor="_Toc13242967" w:history="1">
            <w:r w:rsidR="00AF37E2" w:rsidRPr="00C34C1F">
              <w:rPr>
                <w:rStyle w:val="Hyperlink"/>
                <w:noProof/>
              </w:rPr>
              <w:t>3.4 Additional project requirements</w:t>
            </w:r>
            <w:r w:rsidR="00AF37E2">
              <w:rPr>
                <w:noProof/>
                <w:webHidden/>
              </w:rPr>
              <w:tab/>
            </w:r>
            <w:r w:rsidR="00AF37E2">
              <w:rPr>
                <w:noProof/>
                <w:webHidden/>
              </w:rPr>
              <w:fldChar w:fldCharType="begin"/>
            </w:r>
            <w:r w:rsidR="00AF37E2">
              <w:rPr>
                <w:noProof/>
                <w:webHidden/>
              </w:rPr>
              <w:instrText xml:space="preserve"> PAGEREF _Toc13242967 \h </w:instrText>
            </w:r>
            <w:r w:rsidR="00AF37E2">
              <w:rPr>
                <w:noProof/>
                <w:webHidden/>
              </w:rPr>
            </w:r>
            <w:r w:rsidR="00AF37E2">
              <w:rPr>
                <w:noProof/>
                <w:webHidden/>
              </w:rPr>
              <w:fldChar w:fldCharType="separate"/>
            </w:r>
            <w:r w:rsidR="00AF37E2">
              <w:rPr>
                <w:noProof/>
                <w:webHidden/>
              </w:rPr>
              <w:t>9</w:t>
            </w:r>
            <w:r w:rsidR="00AF37E2">
              <w:rPr>
                <w:noProof/>
                <w:webHidden/>
              </w:rPr>
              <w:fldChar w:fldCharType="end"/>
            </w:r>
          </w:hyperlink>
        </w:p>
        <w:p w14:paraId="4EF47244" w14:textId="2077F612" w:rsidR="00AF37E2" w:rsidRDefault="00D21A04">
          <w:pPr>
            <w:pStyle w:val="TOC2"/>
            <w:rPr>
              <w:rFonts w:eastAsiaTheme="minorEastAsia"/>
              <w:noProof/>
              <w:sz w:val="22"/>
              <w:lang w:eastAsia="en-CA"/>
            </w:rPr>
          </w:pPr>
          <w:hyperlink w:anchor="_Toc13242968" w:history="1">
            <w:r w:rsidR="00AF37E2" w:rsidRPr="00C34C1F">
              <w:rPr>
                <w:rStyle w:val="Hyperlink"/>
                <w:noProof/>
              </w:rPr>
              <w:t>3.5 Governance</w:t>
            </w:r>
            <w:r w:rsidR="00AF37E2">
              <w:rPr>
                <w:noProof/>
                <w:webHidden/>
              </w:rPr>
              <w:tab/>
            </w:r>
            <w:r w:rsidR="00AF37E2">
              <w:rPr>
                <w:noProof/>
                <w:webHidden/>
              </w:rPr>
              <w:fldChar w:fldCharType="begin"/>
            </w:r>
            <w:r w:rsidR="00AF37E2">
              <w:rPr>
                <w:noProof/>
                <w:webHidden/>
              </w:rPr>
              <w:instrText xml:space="preserve"> PAGEREF _Toc13242968 \h </w:instrText>
            </w:r>
            <w:r w:rsidR="00AF37E2">
              <w:rPr>
                <w:noProof/>
                <w:webHidden/>
              </w:rPr>
            </w:r>
            <w:r w:rsidR="00AF37E2">
              <w:rPr>
                <w:noProof/>
                <w:webHidden/>
              </w:rPr>
              <w:fldChar w:fldCharType="separate"/>
            </w:r>
            <w:r w:rsidR="00AF37E2">
              <w:rPr>
                <w:noProof/>
                <w:webHidden/>
              </w:rPr>
              <w:t>12</w:t>
            </w:r>
            <w:r w:rsidR="00AF37E2">
              <w:rPr>
                <w:noProof/>
                <w:webHidden/>
              </w:rPr>
              <w:fldChar w:fldCharType="end"/>
            </w:r>
          </w:hyperlink>
        </w:p>
        <w:p w14:paraId="12D069FB" w14:textId="1641FF2B" w:rsidR="00AF37E2" w:rsidRDefault="00D21A04">
          <w:pPr>
            <w:pStyle w:val="TOC2"/>
            <w:rPr>
              <w:rFonts w:eastAsiaTheme="minorEastAsia"/>
              <w:noProof/>
              <w:sz w:val="22"/>
              <w:lang w:eastAsia="en-CA"/>
            </w:rPr>
          </w:pPr>
          <w:hyperlink w:anchor="_Toc13242969" w:history="1">
            <w:r w:rsidR="00AF37E2" w:rsidRPr="00C34C1F">
              <w:rPr>
                <w:rStyle w:val="Hyperlink"/>
                <w:noProof/>
              </w:rPr>
              <w:t>3.6 Project parameters</w:t>
            </w:r>
            <w:r w:rsidR="00AF37E2">
              <w:rPr>
                <w:noProof/>
                <w:webHidden/>
              </w:rPr>
              <w:tab/>
            </w:r>
            <w:r w:rsidR="00AF37E2">
              <w:rPr>
                <w:noProof/>
                <w:webHidden/>
              </w:rPr>
              <w:fldChar w:fldCharType="begin"/>
            </w:r>
            <w:r w:rsidR="00AF37E2">
              <w:rPr>
                <w:noProof/>
                <w:webHidden/>
              </w:rPr>
              <w:instrText xml:space="preserve"> PAGEREF _Toc13242969 \h </w:instrText>
            </w:r>
            <w:r w:rsidR="00AF37E2">
              <w:rPr>
                <w:noProof/>
                <w:webHidden/>
              </w:rPr>
            </w:r>
            <w:r w:rsidR="00AF37E2">
              <w:rPr>
                <w:noProof/>
                <w:webHidden/>
              </w:rPr>
              <w:fldChar w:fldCharType="separate"/>
            </w:r>
            <w:r w:rsidR="00AF37E2">
              <w:rPr>
                <w:noProof/>
                <w:webHidden/>
              </w:rPr>
              <w:t>12</w:t>
            </w:r>
            <w:r w:rsidR="00AF37E2">
              <w:rPr>
                <w:noProof/>
                <w:webHidden/>
              </w:rPr>
              <w:fldChar w:fldCharType="end"/>
            </w:r>
          </w:hyperlink>
        </w:p>
        <w:p w14:paraId="607E7C67" w14:textId="06AC7F52" w:rsidR="00AF37E2" w:rsidRDefault="00D21A04">
          <w:pPr>
            <w:pStyle w:val="TOC2"/>
            <w:rPr>
              <w:rFonts w:eastAsiaTheme="minorEastAsia"/>
              <w:noProof/>
              <w:sz w:val="22"/>
              <w:lang w:eastAsia="en-CA"/>
            </w:rPr>
          </w:pPr>
          <w:hyperlink w:anchor="_Toc13242970" w:history="1">
            <w:r w:rsidR="00AF37E2" w:rsidRPr="00C34C1F">
              <w:rPr>
                <w:rStyle w:val="Hyperlink"/>
                <w:noProof/>
              </w:rPr>
              <w:t>3.7 Out of Scope</w:t>
            </w:r>
            <w:r w:rsidR="00AF37E2">
              <w:rPr>
                <w:noProof/>
                <w:webHidden/>
              </w:rPr>
              <w:tab/>
            </w:r>
            <w:r w:rsidR="00AF37E2">
              <w:rPr>
                <w:noProof/>
                <w:webHidden/>
              </w:rPr>
              <w:fldChar w:fldCharType="begin"/>
            </w:r>
            <w:r w:rsidR="00AF37E2">
              <w:rPr>
                <w:noProof/>
                <w:webHidden/>
              </w:rPr>
              <w:instrText xml:space="preserve"> PAGEREF _Toc13242970 \h </w:instrText>
            </w:r>
            <w:r w:rsidR="00AF37E2">
              <w:rPr>
                <w:noProof/>
                <w:webHidden/>
              </w:rPr>
            </w:r>
            <w:r w:rsidR="00AF37E2">
              <w:rPr>
                <w:noProof/>
                <w:webHidden/>
              </w:rPr>
              <w:fldChar w:fldCharType="separate"/>
            </w:r>
            <w:r w:rsidR="00AF37E2">
              <w:rPr>
                <w:noProof/>
                <w:webHidden/>
              </w:rPr>
              <w:t>13</w:t>
            </w:r>
            <w:r w:rsidR="00AF37E2">
              <w:rPr>
                <w:noProof/>
                <w:webHidden/>
              </w:rPr>
              <w:fldChar w:fldCharType="end"/>
            </w:r>
          </w:hyperlink>
        </w:p>
        <w:p w14:paraId="6F775A6D" w14:textId="5B51EA17" w:rsidR="00AF37E2" w:rsidRDefault="00D21A04">
          <w:pPr>
            <w:pStyle w:val="TOC2"/>
            <w:rPr>
              <w:rFonts w:eastAsiaTheme="minorEastAsia"/>
              <w:noProof/>
              <w:sz w:val="22"/>
              <w:lang w:eastAsia="en-CA"/>
            </w:rPr>
          </w:pPr>
          <w:hyperlink w:anchor="_Toc13242971" w:history="1">
            <w:r w:rsidR="00AF37E2" w:rsidRPr="00C34C1F">
              <w:rPr>
                <w:rStyle w:val="Hyperlink"/>
                <w:noProof/>
              </w:rPr>
              <w:t>3.8 Funding</w:t>
            </w:r>
            <w:r w:rsidR="00AF37E2">
              <w:rPr>
                <w:noProof/>
                <w:webHidden/>
              </w:rPr>
              <w:tab/>
            </w:r>
            <w:r w:rsidR="00AF37E2">
              <w:rPr>
                <w:noProof/>
                <w:webHidden/>
              </w:rPr>
              <w:fldChar w:fldCharType="begin"/>
            </w:r>
            <w:r w:rsidR="00AF37E2">
              <w:rPr>
                <w:noProof/>
                <w:webHidden/>
              </w:rPr>
              <w:instrText xml:space="preserve"> PAGEREF _Toc13242971 \h </w:instrText>
            </w:r>
            <w:r w:rsidR="00AF37E2">
              <w:rPr>
                <w:noProof/>
                <w:webHidden/>
              </w:rPr>
            </w:r>
            <w:r w:rsidR="00AF37E2">
              <w:rPr>
                <w:noProof/>
                <w:webHidden/>
              </w:rPr>
              <w:fldChar w:fldCharType="separate"/>
            </w:r>
            <w:r w:rsidR="00AF37E2">
              <w:rPr>
                <w:noProof/>
                <w:webHidden/>
              </w:rPr>
              <w:t>14</w:t>
            </w:r>
            <w:r w:rsidR="00AF37E2">
              <w:rPr>
                <w:noProof/>
                <w:webHidden/>
              </w:rPr>
              <w:fldChar w:fldCharType="end"/>
            </w:r>
          </w:hyperlink>
        </w:p>
        <w:p w14:paraId="50D4EDB9" w14:textId="460A85D0" w:rsidR="00AF37E2" w:rsidRDefault="00D21A04" w:rsidP="00AF37E2">
          <w:pPr>
            <w:pStyle w:val="TOC1"/>
            <w:rPr>
              <w:rFonts w:eastAsiaTheme="minorEastAsia"/>
              <w:noProof/>
              <w:sz w:val="22"/>
              <w:lang w:eastAsia="en-CA"/>
            </w:rPr>
          </w:pPr>
          <w:hyperlink w:anchor="_Toc13242972" w:history="1">
            <w:r w:rsidR="00AF37E2" w:rsidRPr="00C34C1F">
              <w:rPr>
                <w:rStyle w:val="Hyperlink"/>
                <w:noProof/>
              </w:rPr>
              <w:t>4.</w:t>
            </w:r>
            <w:r w:rsidR="00AF37E2">
              <w:rPr>
                <w:rFonts w:eastAsiaTheme="minorEastAsia"/>
                <w:noProof/>
                <w:sz w:val="22"/>
                <w:lang w:eastAsia="en-CA"/>
              </w:rPr>
              <w:tab/>
            </w:r>
            <w:r w:rsidR="00AF37E2" w:rsidRPr="00C34C1F">
              <w:rPr>
                <w:rStyle w:val="Hyperlink"/>
                <w:noProof/>
              </w:rPr>
              <w:t>Application Requirements and Evaluation Criteria</w:t>
            </w:r>
            <w:r w:rsidR="00AF37E2">
              <w:rPr>
                <w:noProof/>
                <w:webHidden/>
              </w:rPr>
              <w:tab/>
            </w:r>
            <w:r w:rsidR="00AF37E2">
              <w:rPr>
                <w:noProof/>
                <w:webHidden/>
              </w:rPr>
              <w:fldChar w:fldCharType="begin"/>
            </w:r>
            <w:r w:rsidR="00AF37E2">
              <w:rPr>
                <w:noProof/>
                <w:webHidden/>
              </w:rPr>
              <w:instrText xml:space="preserve"> PAGEREF _Toc13242972 \h </w:instrText>
            </w:r>
            <w:r w:rsidR="00AF37E2">
              <w:rPr>
                <w:noProof/>
                <w:webHidden/>
              </w:rPr>
            </w:r>
            <w:r w:rsidR="00AF37E2">
              <w:rPr>
                <w:noProof/>
                <w:webHidden/>
              </w:rPr>
              <w:fldChar w:fldCharType="separate"/>
            </w:r>
            <w:r w:rsidR="00AF37E2">
              <w:rPr>
                <w:noProof/>
                <w:webHidden/>
              </w:rPr>
              <w:t>14</w:t>
            </w:r>
            <w:r w:rsidR="00AF37E2">
              <w:rPr>
                <w:noProof/>
                <w:webHidden/>
              </w:rPr>
              <w:fldChar w:fldCharType="end"/>
            </w:r>
          </w:hyperlink>
        </w:p>
        <w:p w14:paraId="13B0C23A" w14:textId="6F9A55D0" w:rsidR="00AF37E2" w:rsidRDefault="00D21A04">
          <w:pPr>
            <w:pStyle w:val="TOC2"/>
            <w:rPr>
              <w:rFonts w:eastAsiaTheme="minorEastAsia"/>
              <w:noProof/>
              <w:sz w:val="22"/>
              <w:lang w:eastAsia="en-CA"/>
            </w:rPr>
          </w:pPr>
          <w:hyperlink w:anchor="_Toc13242973" w:history="1">
            <w:r w:rsidR="00AF37E2" w:rsidRPr="00C34C1F">
              <w:rPr>
                <w:rStyle w:val="Hyperlink"/>
                <w:noProof/>
              </w:rPr>
              <w:t>4.1 Qualifications (50%)</w:t>
            </w:r>
            <w:r w:rsidR="00AF37E2">
              <w:rPr>
                <w:noProof/>
                <w:webHidden/>
              </w:rPr>
              <w:tab/>
            </w:r>
            <w:r w:rsidR="00AF37E2">
              <w:rPr>
                <w:noProof/>
                <w:webHidden/>
              </w:rPr>
              <w:fldChar w:fldCharType="begin"/>
            </w:r>
            <w:r w:rsidR="00AF37E2">
              <w:rPr>
                <w:noProof/>
                <w:webHidden/>
              </w:rPr>
              <w:instrText xml:space="preserve"> PAGEREF _Toc13242973 \h </w:instrText>
            </w:r>
            <w:r w:rsidR="00AF37E2">
              <w:rPr>
                <w:noProof/>
                <w:webHidden/>
              </w:rPr>
            </w:r>
            <w:r w:rsidR="00AF37E2">
              <w:rPr>
                <w:noProof/>
                <w:webHidden/>
              </w:rPr>
              <w:fldChar w:fldCharType="separate"/>
            </w:r>
            <w:r w:rsidR="00AF37E2">
              <w:rPr>
                <w:noProof/>
                <w:webHidden/>
              </w:rPr>
              <w:t>14</w:t>
            </w:r>
            <w:r w:rsidR="00AF37E2">
              <w:rPr>
                <w:noProof/>
                <w:webHidden/>
              </w:rPr>
              <w:fldChar w:fldCharType="end"/>
            </w:r>
          </w:hyperlink>
        </w:p>
        <w:p w14:paraId="7F17F3BF" w14:textId="0ABFE0C4" w:rsidR="00AF37E2" w:rsidRDefault="00D21A04">
          <w:pPr>
            <w:pStyle w:val="TOC2"/>
            <w:rPr>
              <w:rFonts w:eastAsiaTheme="minorEastAsia"/>
              <w:noProof/>
              <w:sz w:val="22"/>
              <w:lang w:eastAsia="en-CA"/>
            </w:rPr>
          </w:pPr>
          <w:hyperlink w:anchor="_Toc13242974" w:history="1">
            <w:r w:rsidR="00AF37E2" w:rsidRPr="00C34C1F">
              <w:rPr>
                <w:rStyle w:val="Hyperlink"/>
                <w:noProof/>
              </w:rPr>
              <w:t>4.2 Approach (50%)</w:t>
            </w:r>
            <w:r w:rsidR="00AF37E2">
              <w:rPr>
                <w:noProof/>
                <w:webHidden/>
              </w:rPr>
              <w:tab/>
            </w:r>
            <w:r w:rsidR="00AF37E2">
              <w:rPr>
                <w:noProof/>
                <w:webHidden/>
              </w:rPr>
              <w:fldChar w:fldCharType="begin"/>
            </w:r>
            <w:r w:rsidR="00AF37E2">
              <w:rPr>
                <w:noProof/>
                <w:webHidden/>
              </w:rPr>
              <w:instrText xml:space="preserve"> PAGEREF _Toc13242974 \h </w:instrText>
            </w:r>
            <w:r w:rsidR="00AF37E2">
              <w:rPr>
                <w:noProof/>
                <w:webHidden/>
              </w:rPr>
            </w:r>
            <w:r w:rsidR="00AF37E2">
              <w:rPr>
                <w:noProof/>
                <w:webHidden/>
              </w:rPr>
              <w:fldChar w:fldCharType="separate"/>
            </w:r>
            <w:r w:rsidR="00AF37E2">
              <w:rPr>
                <w:noProof/>
                <w:webHidden/>
              </w:rPr>
              <w:t>15</w:t>
            </w:r>
            <w:r w:rsidR="00AF37E2">
              <w:rPr>
                <w:noProof/>
                <w:webHidden/>
              </w:rPr>
              <w:fldChar w:fldCharType="end"/>
            </w:r>
          </w:hyperlink>
        </w:p>
        <w:p w14:paraId="54EEEDEE" w14:textId="1D18FDB2" w:rsidR="00AF37E2" w:rsidRDefault="00D21A04">
          <w:pPr>
            <w:pStyle w:val="TOC2"/>
            <w:rPr>
              <w:rFonts w:eastAsiaTheme="minorEastAsia"/>
              <w:noProof/>
              <w:sz w:val="22"/>
              <w:lang w:eastAsia="en-CA"/>
            </w:rPr>
          </w:pPr>
          <w:hyperlink w:anchor="_Toc13242975" w:history="1">
            <w:r w:rsidR="00AF37E2" w:rsidRPr="00C34C1F">
              <w:rPr>
                <w:rStyle w:val="Hyperlink"/>
                <w:noProof/>
              </w:rPr>
              <w:t>4.3 Appendices</w:t>
            </w:r>
            <w:r w:rsidR="00AF37E2">
              <w:rPr>
                <w:noProof/>
                <w:webHidden/>
              </w:rPr>
              <w:tab/>
            </w:r>
            <w:r w:rsidR="00AF37E2">
              <w:rPr>
                <w:noProof/>
                <w:webHidden/>
              </w:rPr>
              <w:fldChar w:fldCharType="begin"/>
            </w:r>
            <w:r w:rsidR="00AF37E2">
              <w:rPr>
                <w:noProof/>
                <w:webHidden/>
              </w:rPr>
              <w:instrText xml:space="preserve"> PAGEREF _Toc13242975 \h </w:instrText>
            </w:r>
            <w:r w:rsidR="00AF37E2">
              <w:rPr>
                <w:noProof/>
                <w:webHidden/>
              </w:rPr>
            </w:r>
            <w:r w:rsidR="00AF37E2">
              <w:rPr>
                <w:noProof/>
                <w:webHidden/>
              </w:rPr>
              <w:fldChar w:fldCharType="separate"/>
            </w:r>
            <w:r w:rsidR="00AF37E2">
              <w:rPr>
                <w:noProof/>
                <w:webHidden/>
              </w:rPr>
              <w:t>15</w:t>
            </w:r>
            <w:r w:rsidR="00AF37E2">
              <w:rPr>
                <w:noProof/>
                <w:webHidden/>
              </w:rPr>
              <w:fldChar w:fldCharType="end"/>
            </w:r>
          </w:hyperlink>
        </w:p>
        <w:p w14:paraId="6D2AB3ED" w14:textId="5D69B2AF" w:rsidR="00AF37E2" w:rsidRDefault="00D21A04" w:rsidP="00AF37E2">
          <w:pPr>
            <w:pStyle w:val="TOC1"/>
            <w:rPr>
              <w:rFonts w:eastAsiaTheme="minorEastAsia"/>
              <w:noProof/>
              <w:sz w:val="22"/>
              <w:lang w:eastAsia="en-CA"/>
            </w:rPr>
          </w:pPr>
          <w:hyperlink w:anchor="_Toc13242976" w:history="1">
            <w:r w:rsidR="00AF37E2" w:rsidRPr="00C34C1F">
              <w:rPr>
                <w:rStyle w:val="Hyperlink"/>
                <w:noProof/>
              </w:rPr>
              <w:t>5.</w:t>
            </w:r>
            <w:r w:rsidR="00AF37E2">
              <w:rPr>
                <w:rFonts w:eastAsiaTheme="minorEastAsia"/>
                <w:noProof/>
                <w:sz w:val="22"/>
                <w:lang w:eastAsia="en-CA"/>
              </w:rPr>
              <w:tab/>
            </w:r>
            <w:r w:rsidR="00AF37E2" w:rsidRPr="00C34C1F">
              <w:rPr>
                <w:rStyle w:val="Hyperlink"/>
                <w:noProof/>
              </w:rPr>
              <w:t>Rights of the ministry</w:t>
            </w:r>
            <w:r w:rsidR="00AF37E2">
              <w:rPr>
                <w:noProof/>
                <w:webHidden/>
              </w:rPr>
              <w:tab/>
            </w:r>
            <w:r w:rsidR="00AF37E2">
              <w:rPr>
                <w:noProof/>
                <w:webHidden/>
              </w:rPr>
              <w:fldChar w:fldCharType="begin"/>
            </w:r>
            <w:r w:rsidR="00AF37E2">
              <w:rPr>
                <w:noProof/>
                <w:webHidden/>
              </w:rPr>
              <w:instrText xml:space="preserve"> PAGEREF _Toc13242976 \h </w:instrText>
            </w:r>
            <w:r w:rsidR="00AF37E2">
              <w:rPr>
                <w:noProof/>
                <w:webHidden/>
              </w:rPr>
            </w:r>
            <w:r w:rsidR="00AF37E2">
              <w:rPr>
                <w:noProof/>
                <w:webHidden/>
              </w:rPr>
              <w:fldChar w:fldCharType="separate"/>
            </w:r>
            <w:r w:rsidR="00AF37E2">
              <w:rPr>
                <w:noProof/>
                <w:webHidden/>
              </w:rPr>
              <w:t>16</w:t>
            </w:r>
            <w:r w:rsidR="00AF37E2">
              <w:rPr>
                <w:noProof/>
                <w:webHidden/>
              </w:rPr>
              <w:fldChar w:fldCharType="end"/>
            </w:r>
          </w:hyperlink>
        </w:p>
        <w:p w14:paraId="1A457D97" w14:textId="47446C63" w:rsidR="00AF37E2" w:rsidRDefault="00D21A04" w:rsidP="00AF37E2">
          <w:pPr>
            <w:pStyle w:val="TOC1"/>
            <w:rPr>
              <w:rFonts w:eastAsiaTheme="minorEastAsia"/>
              <w:noProof/>
              <w:sz w:val="22"/>
              <w:lang w:eastAsia="en-CA"/>
            </w:rPr>
          </w:pPr>
          <w:hyperlink w:anchor="_Toc13242977" w:history="1">
            <w:r w:rsidR="00AF37E2" w:rsidRPr="00C34C1F">
              <w:rPr>
                <w:rStyle w:val="Hyperlink"/>
                <w:noProof/>
              </w:rPr>
              <w:t>6.</w:t>
            </w:r>
            <w:r w:rsidR="00AF37E2">
              <w:rPr>
                <w:rFonts w:eastAsiaTheme="minorEastAsia"/>
                <w:noProof/>
                <w:sz w:val="22"/>
                <w:lang w:eastAsia="en-CA"/>
              </w:rPr>
              <w:tab/>
            </w:r>
            <w:r w:rsidR="00AF37E2" w:rsidRPr="00C34C1F">
              <w:rPr>
                <w:rStyle w:val="Hyperlink"/>
                <w:noProof/>
              </w:rPr>
              <w:t>No commitments to fund</w:t>
            </w:r>
            <w:r w:rsidR="00AF37E2">
              <w:rPr>
                <w:noProof/>
                <w:webHidden/>
              </w:rPr>
              <w:tab/>
            </w:r>
            <w:r w:rsidR="00AF37E2">
              <w:rPr>
                <w:noProof/>
                <w:webHidden/>
              </w:rPr>
              <w:fldChar w:fldCharType="begin"/>
            </w:r>
            <w:r w:rsidR="00AF37E2">
              <w:rPr>
                <w:noProof/>
                <w:webHidden/>
              </w:rPr>
              <w:instrText xml:space="preserve"> PAGEREF _Toc13242977 \h </w:instrText>
            </w:r>
            <w:r w:rsidR="00AF37E2">
              <w:rPr>
                <w:noProof/>
                <w:webHidden/>
              </w:rPr>
            </w:r>
            <w:r w:rsidR="00AF37E2">
              <w:rPr>
                <w:noProof/>
                <w:webHidden/>
              </w:rPr>
              <w:fldChar w:fldCharType="separate"/>
            </w:r>
            <w:r w:rsidR="00AF37E2">
              <w:rPr>
                <w:noProof/>
                <w:webHidden/>
              </w:rPr>
              <w:t>16</w:t>
            </w:r>
            <w:r w:rsidR="00AF37E2">
              <w:rPr>
                <w:noProof/>
                <w:webHidden/>
              </w:rPr>
              <w:fldChar w:fldCharType="end"/>
            </w:r>
          </w:hyperlink>
        </w:p>
        <w:p w14:paraId="48A940FE" w14:textId="0088C184" w:rsidR="007C58CC" w:rsidRDefault="007C58CC">
          <w:r>
            <w:rPr>
              <w:b/>
              <w:bCs/>
              <w:noProof/>
            </w:rPr>
            <w:fldChar w:fldCharType="end"/>
          </w:r>
        </w:p>
      </w:sdtContent>
    </w:sdt>
    <w:p w14:paraId="202F1AC1" w14:textId="77777777" w:rsidR="007C58CC" w:rsidRDefault="007C58CC">
      <w:pPr>
        <w:rPr>
          <w:rFonts w:asciiTheme="majorHAnsi" w:eastAsiaTheme="majorEastAsia" w:hAnsiTheme="majorHAnsi" w:cstheme="majorBidi"/>
          <w:b/>
          <w:bCs/>
          <w:sz w:val="36"/>
          <w:szCs w:val="28"/>
        </w:rPr>
      </w:pPr>
    </w:p>
    <w:p w14:paraId="4A2226B8" w14:textId="77777777" w:rsidR="007C58CC" w:rsidRDefault="007C58CC">
      <w:pPr>
        <w:rPr>
          <w:rFonts w:asciiTheme="majorHAnsi" w:eastAsiaTheme="majorEastAsia" w:hAnsiTheme="majorHAnsi" w:cstheme="majorBidi"/>
          <w:b/>
          <w:bCs/>
          <w:sz w:val="36"/>
          <w:szCs w:val="28"/>
        </w:rPr>
      </w:pPr>
    </w:p>
    <w:p w14:paraId="1B343B0F" w14:textId="77777777" w:rsidR="007C58CC" w:rsidRDefault="007C58CC">
      <w:pPr>
        <w:rPr>
          <w:rFonts w:asciiTheme="majorHAnsi" w:eastAsiaTheme="majorEastAsia" w:hAnsiTheme="majorHAnsi" w:cstheme="majorBidi"/>
          <w:b/>
          <w:bCs/>
          <w:sz w:val="36"/>
          <w:szCs w:val="28"/>
        </w:rPr>
      </w:pPr>
      <w:r>
        <w:br w:type="page"/>
      </w:r>
    </w:p>
    <w:p w14:paraId="3DCA7C9A" w14:textId="77777777" w:rsidR="00750DE0" w:rsidRDefault="00FE0DA9" w:rsidP="00296B74">
      <w:pPr>
        <w:pStyle w:val="Heading1"/>
        <w:numPr>
          <w:ilvl w:val="0"/>
          <w:numId w:val="29"/>
        </w:numPr>
      </w:pPr>
      <w:bookmarkStart w:id="0" w:name="_Toc12826520"/>
      <w:bookmarkStart w:id="1" w:name="_Toc13242959"/>
      <w:r>
        <w:lastRenderedPageBreak/>
        <w:t>Overvi</w:t>
      </w:r>
      <w:r w:rsidR="00750DE0">
        <w:t>ew of the Call for Applications</w:t>
      </w:r>
      <w:bookmarkEnd w:id="0"/>
      <w:bookmarkEnd w:id="1"/>
    </w:p>
    <w:p w14:paraId="1C1AE4BB" w14:textId="63DAF57B" w:rsidR="00FE0DA9" w:rsidRDefault="00FE0DA9" w:rsidP="00750DE0">
      <w:r>
        <w:t>This Call for Applications provides interested entities (</w:t>
      </w:r>
      <w:r w:rsidR="00B74C0C">
        <w:t xml:space="preserve">the </w:t>
      </w:r>
      <w:r>
        <w:t>“</w:t>
      </w:r>
      <w:r w:rsidR="00A15268">
        <w:t>Applicant</w:t>
      </w:r>
      <w:r>
        <w:t xml:space="preserve">(s)”) with an opportunity to submit </w:t>
      </w:r>
      <w:r w:rsidR="00655AFD">
        <w:t xml:space="preserve">applications </w:t>
      </w:r>
      <w:r w:rsidR="001C3764">
        <w:t>to</w:t>
      </w:r>
      <w:r>
        <w:t xml:space="preserve"> </w:t>
      </w:r>
      <w:r w:rsidR="001C3764">
        <w:t>fulfill</w:t>
      </w:r>
      <w:r>
        <w:t xml:space="preserve"> requirements for </w:t>
      </w:r>
      <w:r w:rsidR="00F21639">
        <w:t xml:space="preserve">establishing </w:t>
      </w:r>
      <w:r>
        <w:t xml:space="preserve">a patient digital </w:t>
      </w:r>
      <w:r w:rsidR="002E1FA9">
        <w:t>identity, access and authorization (</w:t>
      </w:r>
      <w:r>
        <w:t>IAA</w:t>
      </w:r>
      <w:r w:rsidR="002E1FA9">
        <w:t>)</w:t>
      </w:r>
      <w:r>
        <w:t xml:space="preserve"> </w:t>
      </w:r>
      <w:r w:rsidR="002E1FA9">
        <w:t>service</w:t>
      </w:r>
      <w:r w:rsidR="00B74C0C">
        <w:t xml:space="preserve"> (the “project”)</w:t>
      </w:r>
      <w:r w:rsidR="003421C8">
        <w:t>.</w:t>
      </w:r>
    </w:p>
    <w:p w14:paraId="4EC5AA08" w14:textId="0D294066" w:rsidR="00750DE0" w:rsidRDefault="003B7B8B" w:rsidP="00FE0DA9">
      <w:pPr>
        <w:pStyle w:val="Heading2"/>
      </w:pPr>
      <w:bookmarkStart w:id="2" w:name="_Toc12826521"/>
      <w:bookmarkStart w:id="3" w:name="_Toc13242960"/>
      <w:r>
        <w:t xml:space="preserve">1.1 </w:t>
      </w:r>
      <w:proofErr w:type="gramStart"/>
      <w:r w:rsidR="00FE0DA9">
        <w:t>Submitting an Application</w:t>
      </w:r>
      <w:proofErr w:type="gramEnd"/>
      <w:r w:rsidR="00FE0DA9">
        <w:t xml:space="preserve"> for Funding</w:t>
      </w:r>
      <w:bookmarkEnd w:id="2"/>
      <w:bookmarkEnd w:id="3"/>
    </w:p>
    <w:p w14:paraId="1018D56B" w14:textId="57CB89F8" w:rsidR="00FE0DA9" w:rsidRDefault="00FE0DA9" w:rsidP="00750DE0">
      <w:r>
        <w:t xml:space="preserve">Issue date of Call for Applications: </w:t>
      </w:r>
      <w:r w:rsidR="002577C5">
        <w:rPr>
          <w:b/>
          <w:bCs/>
        </w:rPr>
        <w:t xml:space="preserve">July </w:t>
      </w:r>
      <w:r w:rsidR="00887967">
        <w:rPr>
          <w:b/>
          <w:bCs/>
        </w:rPr>
        <w:t>9</w:t>
      </w:r>
      <w:r w:rsidR="001D4ACC" w:rsidRPr="009D28F1">
        <w:rPr>
          <w:b/>
          <w:bCs/>
        </w:rPr>
        <w:t>, 2019</w:t>
      </w:r>
      <w:r>
        <w:rPr>
          <w:b/>
          <w:bCs/>
        </w:rPr>
        <w:t xml:space="preserve"> </w:t>
      </w:r>
    </w:p>
    <w:p w14:paraId="23C01B8D" w14:textId="43D38A65" w:rsidR="00FE0DA9" w:rsidRPr="00C63C43" w:rsidRDefault="00FE0DA9" w:rsidP="00750DE0">
      <w:pPr>
        <w:rPr>
          <w:szCs w:val="24"/>
        </w:rPr>
      </w:pPr>
      <w:r w:rsidRPr="00C63C43">
        <w:rPr>
          <w:szCs w:val="24"/>
        </w:rPr>
        <w:t>Informational conference call, including respo</w:t>
      </w:r>
      <w:r w:rsidR="00750DE0" w:rsidRPr="00C63C43">
        <w:rPr>
          <w:szCs w:val="24"/>
        </w:rPr>
        <w:t xml:space="preserve">nses to </w:t>
      </w:r>
      <w:r w:rsidR="00463349" w:rsidRPr="00C63C43">
        <w:rPr>
          <w:szCs w:val="24"/>
        </w:rPr>
        <w:t>Applicant</w:t>
      </w:r>
      <w:r w:rsidR="00750DE0" w:rsidRPr="00C63C43">
        <w:rPr>
          <w:szCs w:val="24"/>
        </w:rPr>
        <w:t xml:space="preserve">s’ questions: </w:t>
      </w:r>
      <w:r w:rsidRPr="00C63C43">
        <w:rPr>
          <w:b/>
          <w:bCs/>
          <w:szCs w:val="24"/>
        </w:rPr>
        <w:t xml:space="preserve">Week of </w:t>
      </w:r>
      <w:r w:rsidR="001D4ACC" w:rsidRPr="00C63C43">
        <w:rPr>
          <w:b/>
          <w:bCs/>
          <w:szCs w:val="24"/>
        </w:rPr>
        <w:t xml:space="preserve">July </w:t>
      </w:r>
      <w:r w:rsidR="008C5A47" w:rsidRPr="00C63C43">
        <w:rPr>
          <w:b/>
          <w:bCs/>
          <w:szCs w:val="24"/>
        </w:rPr>
        <w:t>22-26</w:t>
      </w:r>
      <w:r w:rsidR="001D4ACC" w:rsidRPr="00C63C43">
        <w:rPr>
          <w:b/>
          <w:bCs/>
          <w:szCs w:val="24"/>
        </w:rPr>
        <w:t>, 2019</w:t>
      </w:r>
    </w:p>
    <w:p w14:paraId="1BEDB41C" w14:textId="257114F1" w:rsidR="00FE0DA9" w:rsidRPr="00C63C43" w:rsidRDefault="00FE0DA9" w:rsidP="00750DE0">
      <w:pPr>
        <w:rPr>
          <w:bCs/>
          <w:szCs w:val="24"/>
        </w:rPr>
      </w:pPr>
      <w:r w:rsidRPr="00C63C43">
        <w:rPr>
          <w:szCs w:val="24"/>
        </w:rPr>
        <w:t xml:space="preserve">Closing date for applications: </w:t>
      </w:r>
      <w:r w:rsidR="008C5A47" w:rsidRPr="00C63C43">
        <w:rPr>
          <w:b/>
          <w:bCs/>
          <w:szCs w:val="24"/>
        </w:rPr>
        <w:t xml:space="preserve">August </w:t>
      </w:r>
      <w:r w:rsidR="00673686" w:rsidRPr="00C63C43">
        <w:rPr>
          <w:b/>
          <w:bCs/>
          <w:szCs w:val="24"/>
        </w:rPr>
        <w:t>9</w:t>
      </w:r>
      <w:r w:rsidR="001D4ACC" w:rsidRPr="00C63C43">
        <w:rPr>
          <w:b/>
          <w:bCs/>
          <w:szCs w:val="24"/>
        </w:rPr>
        <w:t>, 2019</w:t>
      </w:r>
      <w:r w:rsidR="00750DE0" w:rsidRPr="00C63C43">
        <w:rPr>
          <w:b/>
          <w:bCs/>
          <w:szCs w:val="24"/>
        </w:rPr>
        <w:t>, 12:00 PM (Noon, EST)</w:t>
      </w:r>
    </w:p>
    <w:p w14:paraId="334E1FFA" w14:textId="468B2C39" w:rsidR="00523335" w:rsidRPr="00C63C43" w:rsidRDefault="00FE0DA9" w:rsidP="00FE0DA9">
      <w:pPr>
        <w:pStyle w:val="Default"/>
        <w:rPr>
          <w:rFonts w:ascii="Arial" w:hAnsi="Arial" w:cs="Arial"/>
          <w:color w:val="auto"/>
        </w:rPr>
      </w:pPr>
      <w:r w:rsidRPr="00C63C43">
        <w:rPr>
          <w:rFonts w:ascii="Arial" w:hAnsi="Arial" w:cs="Arial"/>
          <w:color w:val="auto"/>
        </w:rPr>
        <w:t xml:space="preserve">Questions about the Call for Applications and the application process must be submitted by email to </w:t>
      </w:r>
      <w:hyperlink r:id="rId8" w:history="1">
        <w:r w:rsidR="00750DE0" w:rsidRPr="00C63C43">
          <w:rPr>
            <w:rStyle w:val="Hyperlink"/>
            <w:rFonts w:ascii="Arial" w:hAnsi="Arial" w:cs="Arial"/>
          </w:rPr>
          <w:t>DigitalHealthSecretariat@ontario.ca</w:t>
        </w:r>
      </w:hyperlink>
      <w:r w:rsidR="00750DE0" w:rsidRPr="00C63C43">
        <w:rPr>
          <w:rFonts w:ascii="Arial" w:hAnsi="Arial" w:cs="Arial"/>
          <w:color w:val="auto"/>
        </w:rPr>
        <w:t>.</w:t>
      </w:r>
    </w:p>
    <w:p w14:paraId="2D0ED179" w14:textId="77777777" w:rsidR="00750DE0" w:rsidRPr="00C63C43" w:rsidRDefault="00750DE0" w:rsidP="00FE0DA9">
      <w:pPr>
        <w:pStyle w:val="Default"/>
        <w:rPr>
          <w:rFonts w:ascii="Arial" w:hAnsi="Arial" w:cs="Arial"/>
          <w:color w:val="auto"/>
        </w:rPr>
      </w:pPr>
    </w:p>
    <w:p w14:paraId="2BBF9AC1" w14:textId="140355C0" w:rsidR="00750107" w:rsidRPr="00C63C43" w:rsidRDefault="00750107" w:rsidP="00FE0DA9">
      <w:pPr>
        <w:pStyle w:val="Default"/>
        <w:rPr>
          <w:rFonts w:ascii="Arial" w:hAnsi="Arial" w:cs="Arial"/>
          <w:color w:val="auto"/>
        </w:rPr>
      </w:pPr>
      <w:r w:rsidRPr="00C63C43">
        <w:rPr>
          <w:rFonts w:ascii="Arial" w:hAnsi="Arial" w:cs="Arial"/>
          <w:color w:val="auto"/>
        </w:rPr>
        <w:t xml:space="preserve">Please send an RSVP to </w:t>
      </w:r>
      <w:hyperlink r:id="rId9" w:history="1">
        <w:r w:rsidRPr="00C63C43">
          <w:rPr>
            <w:rStyle w:val="Hyperlink"/>
            <w:rFonts w:ascii="Arial" w:hAnsi="Arial" w:cs="Arial"/>
          </w:rPr>
          <w:t>DigitalHealthSecretariat@ontario.ca</w:t>
        </w:r>
      </w:hyperlink>
      <w:r w:rsidRPr="00C63C43">
        <w:rPr>
          <w:rFonts w:ascii="Arial" w:hAnsi="Arial" w:cs="Arial"/>
          <w:color w:val="auto"/>
        </w:rPr>
        <w:t xml:space="preserve"> by </w:t>
      </w:r>
      <w:r w:rsidRPr="00C63C43">
        <w:rPr>
          <w:rFonts w:ascii="Arial" w:hAnsi="Arial" w:cs="Arial"/>
          <w:b/>
          <w:color w:val="auto"/>
        </w:rPr>
        <w:t>July 19, 2019</w:t>
      </w:r>
      <w:r w:rsidRPr="00C63C43">
        <w:rPr>
          <w:rFonts w:ascii="Arial" w:hAnsi="Arial" w:cs="Arial"/>
          <w:color w:val="auto"/>
        </w:rPr>
        <w:t xml:space="preserve"> to indicate your interest in attending the information conference call.</w:t>
      </w:r>
    </w:p>
    <w:p w14:paraId="4DAC36A5" w14:textId="77777777" w:rsidR="00750DE0" w:rsidRPr="00C63C43" w:rsidRDefault="00750DE0" w:rsidP="00FE0DA9">
      <w:pPr>
        <w:pStyle w:val="Default"/>
        <w:rPr>
          <w:rFonts w:ascii="Arial" w:hAnsi="Arial" w:cs="Arial"/>
          <w:color w:val="auto"/>
        </w:rPr>
      </w:pPr>
    </w:p>
    <w:p w14:paraId="62B9323A" w14:textId="7AC446A4" w:rsidR="00750DE0" w:rsidRPr="00C63C43" w:rsidRDefault="00FE0DA9" w:rsidP="00FE0DA9">
      <w:pPr>
        <w:pStyle w:val="Default"/>
        <w:rPr>
          <w:rFonts w:ascii="Arial" w:hAnsi="Arial" w:cs="Arial"/>
          <w:color w:val="auto"/>
        </w:rPr>
      </w:pPr>
      <w:proofErr w:type="gramStart"/>
      <w:r w:rsidRPr="00C63C43">
        <w:rPr>
          <w:rFonts w:ascii="Arial" w:hAnsi="Arial" w:cs="Arial"/>
          <w:color w:val="auto"/>
        </w:rPr>
        <w:t>In order to</w:t>
      </w:r>
      <w:proofErr w:type="gramEnd"/>
      <w:r w:rsidRPr="00C63C43">
        <w:rPr>
          <w:rFonts w:ascii="Arial" w:hAnsi="Arial" w:cs="Arial"/>
          <w:color w:val="auto"/>
        </w:rPr>
        <w:t xml:space="preserve"> be considered, applications must be received by </w:t>
      </w:r>
      <w:r w:rsidR="00E27737" w:rsidRPr="00C63C43">
        <w:rPr>
          <w:rFonts w:ascii="Arial" w:hAnsi="Arial" w:cs="Arial"/>
          <w:color w:val="auto"/>
        </w:rPr>
        <w:t xml:space="preserve">the </w:t>
      </w:r>
      <w:r w:rsidRPr="00C63C43">
        <w:rPr>
          <w:rFonts w:ascii="Arial" w:hAnsi="Arial" w:cs="Arial"/>
          <w:color w:val="auto"/>
        </w:rPr>
        <w:t>closing date</w:t>
      </w:r>
      <w:r w:rsidR="00FF5205" w:rsidRPr="00C63C43">
        <w:rPr>
          <w:rFonts w:ascii="Arial" w:hAnsi="Arial" w:cs="Arial"/>
          <w:color w:val="auto"/>
        </w:rPr>
        <w:t xml:space="preserve"> for applications</w:t>
      </w:r>
      <w:r w:rsidRPr="00C63C43">
        <w:rPr>
          <w:rFonts w:ascii="Arial" w:hAnsi="Arial" w:cs="Arial"/>
          <w:color w:val="auto"/>
        </w:rPr>
        <w:t>.</w:t>
      </w:r>
    </w:p>
    <w:p w14:paraId="75C8D68D" w14:textId="77777777" w:rsidR="00750DE0" w:rsidRPr="00C63C43" w:rsidRDefault="00750DE0" w:rsidP="00FE0DA9">
      <w:pPr>
        <w:pStyle w:val="Default"/>
        <w:rPr>
          <w:rFonts w:ascii="Arial" w:hAnsi="Arial" w:cs="Arial"/>
          <w:color w:val="auto"/>
        </w:rPr>
      </w:pPr>
    </w:p>
    <w:p w14:paraId="34DBC640" w14:textId="77777777" w:rsidR="00FE0DA9" w:rsidRPr="00C63C43" w:rsidRDefault="00FE0DA9" w:rsidP="00FE0DA9">
      <w:pPr>
        <w:pStyle w:val="Default"/>
        <w:rPr>
          <w:rFonts w:ascii="Arial" w:hAnsi="Arial" w:cs="Arial"/>
          <w:color w:val="auto"/>
        </w:rPr>
      </w:pPr>
      <w:r w:rsidRPr="00C63C43">
        <w:rPr>
          <w:rFonts w:ascii="Arial" w:hAnsi="Arial" w:cs="Arial"/>
          <w:color w:val="auto"/>
        </w:rPr>
        <w:t xml:space="preserve">Please submit applications in accordance to requirements set out in the section </w:t>
      </w:r>
      <w:r w:rsidR="00A45D6A" w:rsidRPr="00C63C43">
        <w:rPr>
          <w:rFonts w:ascii="Arial" w:hAnsi="Arial" w:cs="Arial"/>
          <w:color w:val="auto"/>
        </w:rPr>
        <w:t>4</w:t>
      </w:r>
      <w:r w:rsidRPr="00C63C43">
        <w:rPr>
          <w:rFonts w:ascii="Arial" w:hAnsi="Arial" w:cs="Arial"/>
          <w:color w:val="auto"/>
        </w:rPr>
        <w:t xml:space="preserve"> below titled “Application Requirements and Evaluation Criteria”. Completed applications must be sent by email to </w:t>
      </w:r>
      <w:hyperlink r:id="rId10" w:history="1">
        <w:r w:rsidR="00750DE0" w:rsidRPr="00C63C43">
          <w:rPr>
            <w:rStyle w:val="Hyperlink"/>
            <w:rFonts w:ascii="Arial" w:hAnsi="Arial" w:cs="Arial"/>
          </w:rPr>
          <w:t>DigitalHealthSecretariat@ontario.ca</w:t>
        </w:r>
      </w:hyperlink>
      <w:r w:rsidRPr="00C63C43">
        <w:rPr>
          <w:rFonts w:ascii="Arial" w:hAnsi="Arial" w:cs="Arial"/>
          <w:color w:val="auto"/>
        </w:rPr>
        <w:t xml:space="preserve">. </w:t>
      </w:r>
    </w:p>
    <w:p w14:paraId="6E5155CC" w14:textId="77777777" w:rsidR="00750DE0" w:rsidRPr="00C63C43" w:rsidRDefault="00750DE0" w:rsidP="00FE0DA9">
      <w:pPr>
        <w:pStyle w:val="Default"/>
        <w:rPr>
          <w:rFonts w:ascii="Arial" w:hAnsi="Arial" w:cs="Arial"/>
          <w:color w:val="auto"/>
        </w:rPr>
      </w:pPr>
    </w:p>
    <w:p w14:paraId="41555710" w14:textId="60A5DC78" w:rsidR="00FE0DA9" w:rsidRPr="00C63C43" w:rsidRDefault="00463349" w:rsidP="00FE0DA9">
      <w:pPr>
        <w:pStyle w:val="Default"/>
        <w:rPr>
          <w:rFonts w:ascii="Arial" w:hAnsi="Arial" w:cs="Arial"/>
          <w:color w:val="auto"/>
        </w:rPr>
      </w:pPr>
      <w:r w:rsidRPr="00C63C43">
        <w:rPr>
          <w:rFonts w:ascii="Arial" w:hAnsi="Arial" w:cs="Arial"/>
          <w:color w:val="auto"/>
        </w:rPr>
        <w:t>Applicant</w:t>
      </w:r>
      <w:r w:rsidR="00FE0DA9" w:rsidRPr="00C63C43">
        <w:rPr>
          <w:rFonts w:ascii="Arial" w:hAnsi="Arial" w:cs="Arial"/>
          <w:color w:val="auto"/>
        </w:rPr>
        <w:t xml:space="preserve">s who have emailed an application by the closing date </w:t>
      </w:r>
      <w:r w:rsidR="00FF5205" w:rsidRPr="00C63C43">
        <w:rPr>
          <w:rFonts w:ascii="Arial" w:hAnsi="Arial" w:cs="Arial"/>
          <w:color w:val="auto"/>
        </w:rPr>
        <w:t>for applications will</w:t>
      </w:r>
      <w:r w:rsidR="00FE0DA9" w:rsidRPr="00C63C43">
        <w:rPr>
          <w:rFonts w:ascii="Arial" w:hAnsi="Arial" w:cs="Arial"/>
          <w:color w:val="auto"/>
        </w:rPr>
        <w:t xml:space="preserve"> receive an acknowledgement of receipt of their application. Applications received after the closing date </w:t>
      </w:r>
      <w:r w:rsidR="00FF5205" w:rsidRPr="00C63C43">
        <w:rPr>
          <w:rFonts w:ascii="Arial" w:hAnsi="Arial" w:cs="Arial"/>
          <w:color w:val="auto"/>
        </w:rPr>
        <w:t xml:space="preserve">for applications </w:t>
      </w:r>
      <w:r w:rsidR="00FE0DA9" w:rsidRPr="00C63C43">
        <w:rPr>
          <w:rFonts w:ascii="Arial" w:hAnsi="Arial" w:cs="Arial"/>
          <w:color w:val="auto"/>
        </w:rPr>
        <w:t xml:space="preserve">will not be reviewed as part of the Call for Applications process. </w:t>
      </w:r>
    </w:p>
    <w:p w14:paraId="01F9E6A5" w14:textId="77777777" w:rsidR="00750DE0" w:rsidRPr="00C63C43" w:rsidRDefault="00750DE0" w:rsidP="00FE0DA9">
      <w:pPr>
        <w:pStyle w:val="Default"/>
        <w:rPr>
          <w:rFonts w:ascii="Arial" w:hAnsi="Arial" w:cs="Arial"/>
          <w:color w:val="auto"/>
        </w:rPr>
      </w:pPr>
    </w:p>
    <w:p w14:paraId="6B11F5A5" w14:textId="1C3806D7" w:rsidR="00FE0DA9" w:rsidRPr="00C63C43" w:rsidRDefault="00FE0DA9" w:rsidP="00FE0DA9">
      <w:pPr>
        <w:pStyle w:val="Default"/>
        <w:rPr>
          <w:rFonts w:ascii="Arial" w:hAnsi="Arial" w:cs="Arial"/>
          <w:color w:val="auto"/>
        </w:rPr>
      </w:pPr>
      <w:r w:rsidRPr="00C63C43">
        <w:rPr>
          <w:rFonts w:ascii="Arial" w:hAnsi="Arial" w:cs="Arial"/>
          <w:color w:val="auto"/>
        </w:rPr>
        <w:t xml:space="preserve">After </w:t>
      </w:r>
      <w:r w:rsidR="00E27737" w:rsidRPr="00C63C43">
        <w:rPr>
          <w:rFonts w:ascii="Arial" w:hAnsi="Arial" w:cs="Arial"/>
          <w:color w:val="auto"/>
        </w:rPr>
        <w:t>evaluating</w:t>
      </w:r>
      <w:r w:rsidRPr="00C63C43">
        <w:rPr>
          <w:rFonts w:ascii="Arial" w:hAnsi="Arial" w:cs="Arial"/>
          <w:color w:val="auto"/>
        </w:rPr>
        <w:t xml:space="preserve"> applications according to the criteria described in the section </w:t>
      </w:r>
      <w:r w:rsidR="00A45D6A" w:rsidRPr="00C63C43">
        <w:rPr>
          <w:rFonts w:ascii="Arial" w:hAnsi="Arial" w:cs="Arial"/>
          <w:color w:val="auto"/>
        </w:rPr>
        <w:t xml:space="preserve">4 </w:t>
      </w:r>
      <w:r w:rsidRPr="00C63C43">
        <w:rPr>
          <w:rFonts w:ascii="Arial" w:hAnsi="Arial" w:cs="Arial"/>
          <w:color w:val="auto"/>
        </w:rPr>
        <w:t>below titled “Application Requirements and Evaluation Criteria”, the Ministry of Health (</w:t>
      </w:r>
      <w:r w:rsidR="005A25C1" w:rsidRPr="00C63C43">
        <w:rPr>
          <w:rFonts w:ascii="Arial" w:hAnsi="Arial" w:cs="Arial"/>
          <w:color w:val="auto"/>
        </w:rPr>
        <w:t>“</w:t>
      </w:r>
      <w:r w:rsidRPr="00C63C43">
        <w:rPr>
          <w:rFonts w:ascii="Arial" w:hAnsi="Arial" w:cs="Arial"/>
          <w:color w:val="auto"/>
        </w:rPr>
        <w:t>ministry</w:t>
      </w:r>
      <w:r w:rsidR="005A25C1" w:rsidRPr="00C63C43">
        <w:rPr>
          <w:rFonts w:ascii="Arial" w:hAnsi="Arial" w:cs="Arial"/>
          <w:color w:val="auto"/>
        </w:rPr>
        <w:t>”</w:t>
      </w:r>
      <w:r w:rsidRPr="00C63C43">
        <w:rPr>
          <w:rFonts w:ascii="Arial" w:hAnsi="Arial" w:cs="Arial"/>
          <w:color w:val="auto"/>
        </w:rPr>
        <w:t xml:space="preserve">) may engage in follow up discussions with a short list of </w:t>
      </w:r>
      <w:r w:rsidR="004B5762" w:rsidRPr="00C63C43">
        <w:rPr>
          <w:rFonts w:ascii="Arial" w:hAnsi="Arial" w:cs="Arial"/>
          <w:color w:val="auto"/>
        </w:rPr>
        <w:t>selected</w:t>
      </w:r>
      <w:r w:rsidRPr="00C63C43">
        <w:rPr>
          <w:rFonts w:ascii="Arial" w:hAnsi="Arial" w:cs="Arial"/>
          <w:color w:val="auto"/>
        </w:rPr>
        <w:t xml:space="preserve"> </w:t>
      </w:r>
      <w:r w:rsidR="00463349" w:rsidRPr="00C63C43">
        <w:rPr>
          <w:rFonts w:ascii="Arial" w:hAnsi="Arial" w:cs="Arial"/>
          <w:color w:val="auto"/>
        </w:rPr>
        <w:t>Applicant</w:t>
      </w:r>
      <w:r w:rsidRPr="00C63C43">
        <w:rPr>
          <w:rFonts w:ascii="Arial" w:hAnsi="Arial" w:cs="Arial"/>
          <w:color w:val="auto"/>
        </w:rPr>
        <w:t>s</w:t>
      </w:r>
      <w:r w:rsidR="008D3A53" w:rsidRPr="00C63C43">
        <w:rPr>
          <w:rFonts w:ascii="Arial" w:hAnsi="Arial" w:cs="Arial"/>
          <w:color w:val="auto"/>
        </w:rPr>
        <w:t>.</w:t>
      </w:r>
    </w:p>
    <w:p w14:paraId="2B09B381" w14:textId="364BC25B" w:rsidR="008D3A53" w:rsidRDefault="008D3A53" w:rsidP="00FE0DA9">
      <w:pPr>
        <w:pStyle w:val="Default"/>
        <w:rPr>
          <w:rFonts w:ascii="Arial" w:hAnsi="Arial" w:cs="Arial"/>
          <w:color w:val="auto"/>
          <w:sz w:val="23"/>
          <w:szCs w:val="23"/>
        </w:rPr>
      </w:pPr>
    </w:p>
    <w:p w14:paraId="2E38304F" w14:textId="1F3CCFA8" w:rsidR="00FE0DA9" w:rsidRDefault="003B7B8B" w:rsidP="0090183A">
      <w:pPr>
        <w:pStyle w:val="Heading2"/>
      </w:pPr>
      <w:bookmarkStart w:id="4" w:name="_Toc12826522"/>
      <w:bookmarkStart w:id="5" w:name="_Toc13242961"/>
      <w:r>
        <w:t xml:space="preserve">1.2 </w:t>
      </w:r>
      <w:r w:rsidR="0090183A">
        <w:t>Eligibility</w:t>
      </w:r>
      <w:bookmarkEnd w:id="4"/>
      <w:bookmarkEnd w:id="5"/>
      <w:r w:rsidR="00FE0DA9">
        <w:t xml:space="preserve"> </w:t>
      </w:r>
    </w:p>
    <w:p w14:paraId="33E9E5DC" w14:textId="103D8B8E" w:rsidR="005A6B10" w:rsidRDefault="005A6B10" w:rsidP="0090183A">
      <w:r>
        <w:t>Organizations that have submitted self-assessments for Ontario Health Teams (OHT) are encouraged to apply.</w:t>
      </w:r>
    </w:p>
    <w:p w14:paraId="014AF6E4" w14:textId="62355AD1" w:rsidR="0090183A" w:rsidRDefault="0090183A" w:rsidP="0090183A">
      <w:r>
        <w:t xml:space="preserve">Interdisciplinary and collaborative </w:t>
      </w:r>
      <w:r w:rsidR="00855145">
        <w:t xml:space="preserve">project </w:t>
      </w:r>
      <w:r>
        <w:t xml:space="preserve">teams made up of the following members are encouraged to submit </w:t>
      </w:r>
      <w:r w:rsidR="00F21639">
        <w:t>applications</w:t>
      </w:r>
      <w:r>
        <w:t>:</w:t>
      </w:r>
    </w:p>
    <w:p w14:paraId="765FD92C" w14:textId="5FD71452" w:rsidR="006064F5" w:rsidRDefault="00F57B38" w:rsidP="005A6B10">
      <w:r>
        <w:rPr>
          <w:b/>
        </w:rPr>
        <w:lastRenderedPageBreak/>
        <w:t>One</w:t>
      </w:r>
      <w:r w:rsidR="00A45D6A" w:rsidRPr="00A45D6A">
        <w:rPr>
          <w:b/>
        </w:rPr>
        <w:t xml:space="preserve"> </w:t>
      </w:r>
      <w:r w:rsidR="0090183A" w:rsidRPr="00296B74">
        <w:rPr>
          <w:b/>
        </w:rPr>
        <w:t xml:space="preserve">Lead </w:t>
      </w:r>
      <w:r w:rsidR="00FA78DE">
        <w:rPr>
          <w:b/>
        </w:rPr>
        <w:t>O</w:t>
      </w:r>
      <w:r w:rsidR="0090183A" w:rsidRPr="00296B74">
        <w:rPr>
          <w:b/>
        </w:rPr>
        <w:t>rganization</w:t>
      </w:r>
      <w:r w:rsidR="0090183A">
        <w:t xml:space="preserve">: </w:t>
      </w:r>
      <w:r w:rsidR="00A45D6A">
        <w:t>A Lead organization is a</w:t>
      </w:r>
      <w:r w:rsidR="0090183A">
        <w:t xml:space="preserve"> publicly funded </w:t>
      </w:r>
      <w:r w:rsidR="00E83E64">
        <w:t>health care provider</w:t>
      </w:r>
      <w:r w:rsidR="0090183A">
        <w:t xml:space="preserve"> (</w:t>
      </w:r>
      <w:r w:rsidR="00E83E64">
        <w:t>HCP</w:t>
      </w:r>
      <w:r w:rsidR="0090183A">
        <w:t xml:space="preserve">) including (but not limited to) </w:t>
      </w:r>
      <w:r w:rsidR="00116F84">
        <w:t>f</w:t>
      </w:r>
      <w:r w:rsidR="0090183A" w:rsidRPr="0090183A">
        <w:t>amily health teams, community care providers, long-term care homes and hospitals</w:t>
      </w:r>
      <w:r w:rsidR="0090183A">
        <w:t>.</w:t>
      </w:r>
      <w:r w:rsidR="0052207D">
        <w:t xml:space="preserve"> </w:t>
      </w:r>
      <w:r w:rsidR="00FB575F">
        <w:t xml:space="preserve">The Lead Organization must be a health information custodian (HIC) as defined under the </w:t>
      </w:r>
      <w:r w:rsidR="00227019" w:rsidRPr="00227019">
        <w:t>Personal Health Information Protection Act, 2004 (PHIPA)</w:t>
      </w:r>
      <w:r w:rsidR="00227019">
        <w:t>.</w:t>
      </w:r>
    </w:p>
    <w:p w14:paraId="1CB0B6B9" w14:textId="717D7E36" w:rsidR="0090183A" w:rsidRDefault="006064F5" w:rsidP="005A6B10">
      <w:r>
        <w:t>Applications must be submitted by the Lead Organization.</w:t>
      </w:r>
    </w:p>
    <w:p w14:paraId="3B867616" w14:textId="10F18220" w:rsidR="00855145" w:rsidRDefault="00A45D6A" w:rsidP="005A6B10">
      <w:r>
        <w:rPr>
          <w:b/>
        </w:rPr>
        <w:t xml:space="preserve">One or more </w:t>
      </w:r>
      <w:r w:rsidR="009F3BDD" w:rsidRPr="00296B74">
        <w:rPr>
          <w:b/>
        </w:rPr>
        <w:t xml:space="preserve">Technology </w:t>
      </w:r>
      <w:r w:rsidR="00F57B38">
        <w:rPr>
          <w:b/>
        </w:rPr>
        <w:t>Participants</w:t>
      </w:r>
      <w:r>
        <w:rPr>
          <w:b/>
        </w:rPr>
        <w:t xml:space="preserve">. </w:t>
      </w:r>
      <w:r w:rsidRPr="00F57B38">
        <w:t xml:space="preserve">A Technology </w:t>
      </w:r>
      <w:r w:rsidR="00F57B38">
        <w:t>Participant</w:t>
      </w:r>
      <w:r w:rsidRPr="00F57B38">
        <w:t xml:space="preserve"> is</w:t>
      </w:r>
      <w:r>
        <w:rPr>
          <w:b/>
        </w:rPr>
        <w:t xml:space="preserve"> </w:t>
      </w:r>
      <w:r>
        <w:t>a</w:t>
      </w:r>
      <w:r w:rsidR="009F3BDD" w:rsidRPr="009F3BDD">
        <w:t xml:space="preserve"> technology business providing an innovative solution to the problem statement. Partners may be of any size or stage (start-up, small- to medium-sized enterprise and multinational enterprise)</w:t>
      </w:r>
      <w:r w:rsidR="00855145">
        <w:t>.</w:t>
      </w:r>
    </w:p>
    <w:p w14:paraId="0B17208B" w14:textId="6D1596CC" w:rsidR="00FA78DE" w:rsidRDefault="00A45D6A" w:rsidP="005A6B10">
      <w:r>
        <w:rPr>
          <w:b/>
        </w:rPr>
        <w:t xml:space="preserve">One or more </w:t>
      </w:r>
      <w:r w:rsidR="00855145" w:rsidRPr="00296B74">
        <w:rPr>
          <w:b/>
        </w:rPr>
        <w:t xml:space="preserve">Other </w:t>
      </w:r>
      <w:r w:rsidR="00F57B38">
        <w:rPr>
          <w:b/>
        </w:rPr>
        <w:t>Participants</w:t>
      </w:r>
      <w:r w:rsidRPr="00F57B38">
        <w:t xml:space="preserve">. </w:t>
      </w:r>
      <w:proofErr w:type="gramStart"/>
      <w:r w:rsidRPr="00F57B38">
        <w:t>An Other</w:t>
      </w:r>
      <w:proofErr w:type="gramEnd"/>
      <w:r w:rsidRPr="00F57B38">
        <w:t xml:space="preserve"> </w:t>
      </w:r>
      <w:r w:rsidR="00F57B38">
        <w:t>Participant</w:t>
      </w:r>
      <w:r w:rsidRPr="00F57B38">
        <w:t xml:space="preserve"> is</w:t>
      </w:r>
      <w:r w:rsidR="00F57B38">
        <w:t xml:space="preserve"> a</w:t>
      </w:r>
      <w:r w:rsidR="006849E7">
        <w:t>n HCP,</w:t>
      </w:r>
      <w:r w:rsidR="00F57B38">
        <w:t xml:space="preserve"> </w:t>
      </w:r>
      <w:r w:rsidR="00855145">
        <w:t xml:space="preserve">community-based association </w:t>
      </w:r>
      <w:r>
        <w:t xml:space="preserve">or </w:t>
      </w:r>
      <w:r w:rsidR="00855145">
        <w:t xml:space="preserve">advocacy group (e.g. patient-family advisory table) who can provide sector expertise to ensure project development and implementation meets sector and local needs – especially for underserved </w:t>
      </w:r>
      <w:r w:rsidR="00FA78DE">
        <w:t xml:space="preserve">and hard to reach </w:t>
      </w:r>
      <w:r w:rsidR="00855145">
        <w:t>patient groups.</w:t>
      </w:r>
    </w:p>
    <w:p w14:paraId="73B7B621" w14:textId="4F10F50B" w:rsidR="002A2CB5" w:rsidRDefault="00C948FB">
      <w:r>
        <w:t xml:space="preserve">The </w:t>
      </w:r>
      <w:r w:rsidR="00E83E64">
        <w:t>HCP</w:t>
      </w:r>
      <w:r>
        <w:t xml:space="preserve"> serving as the Lead Organization commits to providing the clinical setting in which the patient digital IAA service will be </w:t>
      </w:r>
      <w:r w:rsidR="002A2CB5">
        <w:t>implemented and evaluated, including clinician and operations support, project management support, procurement specialists and patients.</w:t>
      </w:r>
    </w:p>
    <w:p w14:paraId="3CA21560" w14:textId="03EE5EEB" w:rsidR="004A643C" w:rsidRDefault="00F57B38">
      <w:pPr>
        <w:rPr>
          <w:rFonts w:ascii="Calibri" w:hAnsi="Calibri" w:cs="Calibri"/>
          <w:szCs w:val="24"/>
        </w:rPr>
      </w:pPr>
      <w:r>
        <w:t>Project teams</w:t>
      </w:r>
      <w:r w:rsidR="002A2CB5">
        <w:t xml:space="preserve"> will agree to provide project metrics and progress reports to the ministry and </w:t>
      </w:r>
      <w:r w:rsidR="006D2DE0">
        <w:t xml:space="preserve">the </w:t>
      </w:r>
      <w:r w:rsidR="006D2DE0" w:rsidRPr="006D2DE0">
        <w:t xml:space="preserve">Centre for Digital Health Evaluation </w:t>
      </w:r>
      <w:r w:rsidR="006D2DE0">
        <w:t xml:space="preserve">(CDHE) </w:t>
      </w:r>
      <w:r w:rsidR="006D2DE0" w:rsidRPr="006D2DE0">
        <w:t>at Women’s College Hospital Institute for Health Systems Solutions and Virtual Care (WIHV)</w:t>
      </w:r>
      <w:r w:rsidR="002A2CB5">
        <w:t xml:space="preserve">, as well as participating in knowledge sharing activities as required for the </w:t>
      </w:r>
      <w:r w:rsidR="00937F10">
        <w:t>p</w:t>
      </w:r>
      <w:r w:rsidR="00B74C0C">
        <w:t>roject</w:t>
      </w:r>
      <w:r w:rsidR="002A2CB5">
        <w:t>.</w:t>
      </w:r>
      <w:r w:rsidR="00C948FB">
        <w:t xml:space="preserve"> </w:t>
      </w:r>
    </w:p>
    <w:p w14:paraId="6D205984" w14:textId="25D6838E" w:rsidR="00FE0DA9" w:rsidRDefault="00FE0DA9" w:rsidP="00296B74">
      <w:pPr>
        <w:pStyle w:val="Heading1"/>
        <w:numPr>
          <w:ilvl w:val="0"/>
          <w:numId w:val="29"/>
        </w:numPr>
      </w:pPr>
      <w:bookmarkStart w:id="6" w:name="_Toc12826523"/>
      <w:bookmarkStart w:id="7" w:name="_Toc13242962"/>
      <w:r>
        <w:t>Provincial Context</w:t>
      </w:r>
      <w:bookmarkEnd w:id="6"/>
      <w:bookmarkEnd w:id="7"/>
      <w:r>
        <w:t xml:space="preserve"> </w:t>
      </w:r>
    </w:p>
    <w:p w14:paraId="70A857F6" w14:textId="51C70037" w:rsidR="00B9294D" w:rsidRDefault="00B9294D" w:rsidP="00B9294D">
      <w:r w:rsidRPr="00224739">
        <w:t>The Government of Ontario is committed to placing people at the centre of every government program, service, process and policy and to delivering simpler, faster and more easily accessible services for the people, communities and businesses of Ontario today and in the future.</w:t>
      </w:r>
    </w:p>
    <w:p w14:paraId="5A602AA0" w14:textId="1739496E" w:rsidR="000B2217" w:rsidRPr="00442480" w:rsidRDefault="00516B92" w:rsidP="00B9294D">
      <w:r w:rsidRPr="00516B92">
        <w:t>There is a new bold vision for health care in the province of Ontario. The initiatives currently underway – such as Ontario Health Teams – will help create a system that is integrated, innovative, efficient and able to respond to the short- and long-term needs of our patients. There is a clear commitment from the government to end hallway health care by building a modern, sustainable and integrated health care system that starts with the patient.</w:t>
      </w:r>
    </w:p>
    <w:p w14:paraId="15582821" w14:textId="64974E01" w:rsidR="00CE2B72" w:rsidRDefault="00CE2B72" w:rsidP="002C770F">
      <w:r>
        <w:lastRenderedPageBreak/>
        <w:t>T</w:t>
      </w:r>
      <w:r w:rsidRPr="00724002">
        <w:t xml:space="preserve">he reorganization of the province’s health system </w:t>
      </w:r>
      <w:r>
        <w:t>under</w:t>
      </w:r>
      <w:r w:rsidRPr="00724002">
        <w:t xml:space="preserve"> the Ontario Health Team (OHT)</w:t>
      </w:r>
      <w:r>
        <w:rPr>
          <w:rStyle w:val="FootnoteReference"/>
        </w:rPr>
        <w:footnoteReference w:id="2"/>
      </w:r>
      <w:r w:rsidRPr="00724002">
        <w:t xml:space="preserve"> model </w:t>
      </w:r>
      <w:r>
        <w:t>and the creation of Ontario Health</w:t>
      </w:r>
      <w:r>
        <w:rPr>
          <w:rStyle w:val="FootnoteReference"/>
        </w:rPr>
        <w:footnoteReference w:id="3"/>
      </w:r>
      <w:r>
        <w:t xml:space="preserve"> presents</w:t>
      </w:r>
      <w:r w:rsidRPr="00724002">
        <w:t xml:space="preserve"> a significant opportunity to deliver high quality health care in new and innovative ways to Ontarians.</w:t>
      </w:r>
      <w:r w:rsidR="0052207D">
        <w:t xml:space="preserve"> </w:t>
      </w:r>
      <w:r>
        <w:t xml:space="preserve">This includes through digital health solutions </w:t>
      </w:r>
      <w:r w:rsidR="00BF17AD">
        <w:t xml:space="preserve">that </w:t>
      </w:r>
      <w:r>
        <w:t>support a modern patient experience, efficient healthcare delivery, and ongoing quality and performance improvements.</w:t>
      </w:r>
      <w:r w:rsidR="0052207D">
        <w:t xml:space="preserve"> </w:t>
      </w:r>
      <w:r>
        <w:t xml:space="preserve">Through a digital-first approach and with safeguards in place to protect </w:t>
      </w:r>
      <w:r w:rsidR="004429FD">
        <w:t xml:space="preserve">patient </w:t>
      </w:r>
      <w:r>
        <w:t>information</w:t>
      </w:r>
      <w:r w:rsidR="00BF17AD">
        <w:t xml:space="preserve"> and privacy</w:t>
      </w:r>
      <w:r>
        <w:t xml:space="preserve">, patients will have </w:t>
      </w:r>
      <w:r w:rsidRPr="00846784">
        <w:t>choices to access health information</w:t>
      </w:r>
      <w:r>
        <w:t xml:space="preserve"> and </w:t>
      </w:r>
      <w:r w:rsidRPr="00846784">
        <w:t xml:space="preserve">communicate and share </w:t>
      </w:r>
      <w:r w:rsidR="004429FD">
        <w:t>their personal health information (PHI)</w:t>
      </w:r>
      <w:r w:rsidR="004429FD" w:rsidRPr="00846784">
        <w:t xml:space="preserve"> </w:t>
      </w:r>
      <w:r>
        <w:t>with</w:t>
      </w:r>
      <w:r w:rsidRPr="00846784">
        <w:t xml:space="preserve"> </w:t>
      </w:r>
      <w:r>
        <w:t>their HCP</w:t>
      </w:r>
      <w:r w:rsidRPr="00846784">
        <w:t>s</w:t>
      </w:r>
      <w:r>
        <w:t xml:space="preserve"> – </w:t>
      </w:r>
      <w:r w:rsidRPr="00846784">
        <w:t>all of which will be in alignment with provincial digital health policies and standards.</w:t>
      </w:r>
    </w:p>
    <w:p w14:paraId="0C7FFA90" w14:textId="51DD7B6E" w:rsidR="006C3C47" w:rsidRDefault="006C3C47" w:rsidP="006C3C47">
      <w:r>
        <w:t xml:space="preserve">Right now, the province’s digital health landscape is a mosaic of digital tools that all perform specific functions for specific clinical settings and patient use purposes – </w:t>
      </w:r>
      <w:r w:rsidR="00A05794">
        <w:t xml:space="preserve">this </w:t>
      </w:r>
      <w:r w:rsidR="00B94582">
        <w:t>fragmentation has created challenging and problematic user experiences</w:t>
      </w:r>
      <w:r>
        <w:t>.</w:t>
      </w:r>
    </w:p>
    <w:p w14:paraId="09B4E8EF" w14:textId="6A154084" w:rsidR="006C3C47" w:rsidRDefault="006C3C47" w:rsidP="002C770F">
      <w:r w:rsidRPr="006C3C47">
        <w:t>With centralized accountability for digital health delivery, Ontario Health will be in a strong position to reverse the fragmentation of digital health assets, services and programs and solve problems to multifaceted issues that have been difficult to address with multiple, competing delivery partners operating in silos.</w:t>
      </w:r>
    </w:p>
    <w:p w14:paraId="7B1991D5" w14:textId="43266167" w:rsidR="002C770F" w:rsidRDefault="002C770F" w:rsidP="002C770F">
      <w:r>
        <w:t>I</w:t>
      </w:r>
      <w:r w:rsidRPr="00E50347">
        <w:t xml:space="preserve">nformation-sharing and communication between </w:t>
      </w:r>
      <w:r w:rsidR="00C22D3A">
        <w:t xml:space="preserve">HCPs </w:t>
      </w:r>
      <w:r w:rsidRPr="00E50347">
        <w:t>and their patients is inconsistent</w:t>
      </w:r>
      <w:r w:rsidR="00163FEB">
        <w:t xml:space="preserve"> and siloed</w:t>
      </w:r>
      <w:r w:rsidRPr="00E50347">
        <w:t>.</w:t>
      </w:r>
      <w:r w:rsidR="0052207D">
        <w:t xml:space="preserve"> </w:t>
      </w:r>
      <w:r w:rsidRPr="00E50347">
        <w:t>As a result, patients experience fragmented care</w:t>
      </w:r>
      <w:r w:rsidR="00163FEB">
        <w:t>, confusion</w:t>
      </w:r>
      <w:r w:rsidRPr="00E50347">
        <w:t xml:space="preserve"> and challenges sharing information as they transition from one </w:t>
      </w:r>
      <w:r w:rsidR="00C22D3A">
        <w:t xml:space="preserve">HCP </w:t>
      </w:r>
      <w:r w:rsidRPr="00E50347">
        <w:t>to the next.</w:t>
      </w:r>
    </w:p>
    <w:p w14:paraId="1EFCA0C0" w14:textId="1EF3FA28" w:rsidR="002C770F" w:rsidRDefault="002C770F" w:rsidP="002C770F">
      <w:r w:rsidRPr="002C770F">
        <w:t xml:space="preserve">Ontarians expect to be able to </w:t>
      </w:r>
      <w:r w:rsidR="00163FEB">
        <w:t xml:space="preserve">actively </w:t>
      </w:r>
      <w:r w:rsidRPr="002C770F">
        <w:t>manage their own health</w:t>
      </w:r>
      <w:r w:rsidR="00163FEB">
        <w:t xml:space="preserve"> care</w:t>
      </w:r>
      <w:r w:rsidRPr="002C770F">
        <w:t xml:space="preserve">, and yet they don’t have an easy way to access their own medical records or </w:t>
      </w:r>
      <w:r w:rsidR="00303B10">
        <w:t xml:space="preserve">have choices in how </w:t>
      </w:r>
      <w:r w:rsidRPr="002C770F">
        <w:t>to access virtual care</w:t>
      </w:r>
      <w:r w:rsidR="00303B10">
        <w:t xml:space="preserve"> services</w:t>
      </w:r>
      <w:r w:rsidRPr="002C770F">
        <w:t>.</w:t>
      </w:r>
    </w:p>
    <w:p w14:paraId="0D170016" w14:textId="068D90E6" w:rsidR="009D3FFB" w:rsidRDefault="00724002" w:rsidP="00724002">
      <w:r>
        <w:t xml:space="preserve">Furthermore, </w:t>
      </w:r>
      <w:r w:rsidR="000D2F17">
        <w:t xml:space="preserve">those </w:t>
      </w:r>
      <w:r>
        <w:t xml:space="preserve">people </w:t>
      </w:r>
      <w:r w:rsidR="000D2F17">
        <w:t xml:space="preserve">who have access to digital tools </w:t>
      </w:r>
      <w:r>
        <w:t>often need to use different login credentials to gain acce</w:t>
      </w:r>
      <w:r w:rsidR="000D2F17">
        <w:t>ss to each digital tool they use</w:t>
      </w:r>
      <w:r w:rsidR="009516BD">
        <w:t xml:space="preserve"> – with each login credential meeting different </w:t>
      </w:r>
      <w:r w:rsidR="00EE3897">
        <w:t>thresholds for</w:t>
      </w:r>
      <w:r w:rsidR="009516BD">
        <w:t xml:space="preserve"> security and privacy</w:t>
      </w:r>
      <w:r w:rsidR="000D2F17">
        <w:t>.</w:t>
      </w:r>
      <w:r w:rsidR="0052207D">
        <w:t xml:space="preserve"> </w:t>
      </w:r>
      <w:r w:rsidR="000D2F17">
        <w:t>This presents</w:t>
      </w:r>
      <w:r>
        <w:t xml:space="preserve"> </w:t>
      </w:r>
      <w:r w:rsidR="00D22E9B">
        <w:t xml:space="preserve">potential security risks, </w:t>
      </w:r>
      <w:r>
        <w:t>inconvenience</w:t>
      </w:r>
      <w:r w:rsidR="00D22E9B">
        <w:t xml:space="preserve"> for the user</w:t>
      </w:r>
      <w:r>
        <w:t xml:space="preserve"> and </w:t>
      </w:r>
      <w:r w:rsidR="000D2F17">
        <w:t>creates the burden of managing and storing</w:t>
      </w:r>
      <w:r>
        <w:t xml:space="preserve"> multiple login/password combinations</w:t>
      </w:r>
      <w:r w:rsidR="002A704D">
        <w:t>.</w:t>
      </w:r>
    </w:p>
    <w:p w14:paraId="6484A4E9" w14:textId="149977CC" w:rsidR="006E4BF6" w:rsidRDefault="006E4BF6" w:rsidP="00276F5D">
      <w:r w:rsidRPr="006E4BF6">
        <w:t xml:space="preserve">The </w:t>
      </w:r>
      <w:r w:rsidR="009B5A6E">
        <w:t>2</w:t>
      </w:r>
      <w:r w:rsidR="009B5A6E" w:rsidRPr="009B5A6E">
        <w:rPr>
          <w:vertAlign w:val="superscript"/>
        </w:rPr>
        <w:t>nd</w:t>
      </w:r>
      <w:r w:rsidR="009B5A6E">
        <w:t xml:space="preserve"> </w:t>
      </w:r>
      <w:r w:rsidRPr="006E4BF6">
        <w:t>report from the Premier’s Council on Improving Healthcare and Ending Hallway Medicine</w:t>
      </w:r>
      <w:r>
        <w:rPr>
          <w:rStyle w:val="FootnoteReference"/>
        </w:rPr>
        <w:footnoteReference w:id="4"/>
      </w:r>
      <w:r>
        <w:t xml:space="preserve"> contains 10 recommendations that </w:t>
      </w:r>
      <w:r w:rsidRPr="006E4BF6">
        <w:t>support a fundamental change in culture and organization of health care service planning and delivery</w:t>
      </w:r>
      <w:r>
        <w:t>.</w:t>
      </w:r>
      <w:r w:rsidR="0052207D">
        <w:t xml:space="preserve"> </w:t>
      </w:r>
      <w:r>
        <w:t>A reliable patient digital IAA service aligns with recommendations 1, 2, 3, 4, 6, and 10:</w:t>
      </w:r>
    </w:p>
    <w:p w14:paraId="2ECC409C" w14:textId="1A78D4DF" w:rsidR="006E4BF6" w:rsidRPr="00EA134C" w:rsidRDefault="006E4BF6" w:rsidP="006E4BF6">
      <w:pPr>
        <w:rPr>
          <w:u w:val="single"/>
        </w:rPr>
      </w:pPr>
      <w:r w:rsidRPr="00EA134C">
        <w:rPr>
          <w:u w:val="single"/>
        </w:rPr>
        <w:lastRenderedPageBreak/>
        <w:t>Integration</w:t>
      </w:r>
    </w:p>
    <w:p w14:paraId="6CD77D22" w14:textId="23EE2EB6" w:rsidR="006E4BF6" w:rsidRDefault="006E4BF6" w:rsidP="00EA134C">
      <w:pPr>
        <w:pStyle w:val="ListParagraph"/>
        <w:numPr>
          <w:ilvl w:val="0"/>
          <w:numId w:val="32"/>
        </w:numPr>
      </w:pPr>
      <w:r>
        <w:t>Put patients at the centre of their health care. Patients should be well-supported and treated with dignity and respect throughout all interactions with the health care system.</w:t>
      </w:r>
    </w:p>
    <w:p w14:paraId="6AD3EEFA" w14:textId="1A67205B" w:rsidR="006E4BF6" w:rsidRDefault="006E4BF6" w:rsidP="00EA134C">
      <w:pPr>
        <w:pStyle w:val="ListParagraph"/>
        <w:numPr>
          <w:ilvl w:val="0"/>
          <w:numId w:val="32"/>
        </w:numPr>
      </w:pPr>
      <w:r>
        <w:t xml:space="preserve">Improve patients’ and providers’ ability to navigate the health care system, simplify the process of accessing and providing care in the community, and improve digital access to </w:t>
      </w:r>
      <w:r w:rsidR="004429FD">
        <w:t>PHI</w:t>
      </w:r>
      <w:r>
        <w:t>.</w:t>
      </w:r>
    </w:p>
    <w:p w14:paraId="5EADE473" w14:textId="74FF1DEF" w:rsidR="006E4BF6" w:rsidRDefault="006E4BF6" w:rsidP="00EA134C">
      <w:pPr>
        <w:pStyle w:val="ListParagraph"/>
        <w:numPr>
          <w:ilvl w:val="0"/>
          <w:numId w:val="32"/>
        </w:numPr>
      </w:pPr>
      <w:r>
        <w:t>Support patients and providers at every step of a health care journey by ensuring effective primary care is the foundation of an integrated health care system.</w:t>
      </w:r>
    </w:p>
    <w:p w14:paraId="44EE8BD0" w14:textId="413146E0" w:rsidR="006E4BF6" w:rsidRPr="00EA134C" w:rsidRDefault="006E4BF6" w:rsidP="006E4BF6">
      <w:pPr>
        <w:rPr>
          <w:u w:val="single"/>
        </w:rPr>
      </w:pPr>
      <w:r w:rsidRPr="00EA134C">
        <w:rPr>
          <w:u w:val="single"/>
        </w:rPr>
        <w:t>Innovation</w:t>
      </w:r>
    </w:p>
    <w:p w14:paraId="0E768E5F" w14:textId="3BFF6B16" w:rsidR="006E4BF6" w:rsidRDefault="006E4BF6" w:rsidP="00EA134C">
      <w:pPr>
        <w:pStyle w:val="ListParagraph"/>
        <w:numPr>
          <w:ilvl w:val="0"/>
          <w:numId w:val="32"/>
        </w:numPr>
      </w:pPr>
      <w:r>
        <w:t>Improve options for health care delivery, including increasing the availability and use of a variety of virtual care options.</w:t>
      </w:r>
    </w:p>
    <w:p w14:paraId="47109034" w14:textId="77777777" w:rsidR="006E4BF6" w:rsidRPr="00EA134C" w:rsidRDefault="006E4BF6" w:rsidP="006E4BF6">
      <w:pPr>
        <w:rPr>
          <w:u w:val="single"/>
        </w:rPr>
      </w:pPr>
      <w:r w:rsidRPr="00EA134C">
        <w:rPr>
          <w:u w:val="single"/>
        </w:rPr>
        <w:t>Efficiency &amp; Alignment</w:t>
      </w:r>
    </w:p>
    <w:p w14:paraId="78517B9A" w14:textId="130019C4" w:rsidR="006E4BF6" w:rsidRDefault="006E4BF6" w:rsidP="00EA134C">
      <w:pPr>
        <w:pStyle w:val="ListParagraph"/>
        <w:numPr>
          <w:ilvl w:val="0"/>
          <w:numId w:val="34"/>
        </w:numPr>
      </w:pPr>
      <w:r>
        <w:t>Data should be strategically designed, open and transparent, and actively used throughout the health care system to drive greater accountability and to improve health outcomes.</w:t>
      </w:r>
    </w:p>
    <w:p w14:paraId="68FFC2B2" w14:textId="288B2C28" w:rsidR="006E4BF6" w:rsidRPr="00EA134C" w:rsidRDefault="006E4BF6" w:rsidP="006E4BF6">
      <w:pPr>
        <w:rPr>
          <w:u w:val="single"/>
        </w:rPr>
      </w:pPr>
      <w:r w:rsidRPr="00EA134C">
        <w:rPr>
          <w:u w:val="single"/>
        </w:rPr>
        <w:t>Capacity</w:t>
      </w:r>
    </w:p>
    <w:p w14:paraId="65969AAC" w14:textId="18C04BF0" w:rsidR="006E4BF6" w:rsidRDefault="006E4BF6" w:rsidP="00EA134C">
      <w:pPr>
        <w:pStyle w:val="ListParagraph"/>
        <w:numPr>
          <w:ilvl w:val="0"/>
          <w:numId w:val="35"/>
        </w:numPr>
      </w:pPr>
      <w:r>
        <w:t>Champion collaborative and interprofessional leadership development focused on system modernization capabilities.</w:t>
      </w:r>
    </w:p>
    <w:p w14:paraId="1BC03F41" w14:textId="61470288" w:rsidR="00276F5D" w:rsidRPr="009D3FFB" w:rsidRDefault="000E037D" w:rsidP="00276F5D">
      <w:r>
        <w:t xml:space="preserve">A reliable patient digital IAA service is essential for </w:t>
      </w:r>
      <w:r w:rsidR="00593B9C">
        <w:t>accomplishing the goals</w:t>
      </w:r>
      <w:r w:rsidR="00EA134C">
        <w:t xml:space="preserve"> of </w:t>
      </w:r>
      <w:r>
        <w:t xml:space="preserve">each of these </w:t>
      </w:r>
      <w:r w:rsidR="00EA134C">
        <w:t>recommendations</w:t>
      </w:r>
      <w:r>
        <w:t>.</w:t>
      </w:r>
    </w:p>
    <w:p w14:paraId="422793AD" w14:textId="52AF0158" w:rsidR="00FE0DA9" w:rsidRDefault="00295693" w:rsidP="00296B74">
      <w:pPr>
        <w:pStyle w:val="Heading1"/>
        <w:numPr>
          <w:ilvl w:val="0"/>
          <w:numId w:val="29"/>
        </w:numPr>
      </w:pPr>
      <w:bookmarkStart w:id="8" w:name="_Toc12826524"/>
      <w:bookmarkStart w:id="9" w:name="_Toc13242963"/>
      <w:r>
        <w:t xml:space="preserve">Project goals and </w:t>
      </w:r>
      <w:r w:rsidR="006D0FE3">
        <w:t xml:space="preserve">outputs </w:t>
      </w:r>
      <w:r w:rsidR="00FE0DA9">
        <w:t xml:space="preserve">for </w:t>
      </w:r>
      <w:r w:rsidR="0020640E">
        <w:t xml:space="preserve">a </w:t>
      </w:r>
      <w:r w:rsidR="00AF4748">
        <w:t>patient digital IAA</w:t>
      </w:r>
      <w:r w:rsidR="00FE0DA9">
        <w:t xml:space="preserve"> </w:t>
      </w:r>
      <w:r w:rsidR="0020640E">
        <w:t>service</w:t>
      </w:r>
      <w:bookmarkEnd w:id="8"/>
      <w:bookmarkEnd w:id="9"/>
    </w:p>
    <w:p w14:paraId="34C58765" w14:textId="77777777" w:rsidR="00184476" w:rsidRDefault="00184476" w:rsidP="00FA3851"/>
    <w:p w14:paraId="17752A0F" w14:textId="2719DBAF" w:rsidR="00496F6F" w:rsidRDefault="0030041C" w:rsidP="00FA3851">
      <w:r>
        <w:t xml:space="preserve">Our vision for a modern healthcare system in Ontario sees </w:t>
      </w:r>
      <w:r w:rsidR="00163FEB">
        <w:t xml:space="preserve">individuals using a </w:t>
      </w:r>
      <w:r w:rsidR="00163FEB" w:rsidRPr="00163FEB">
        <w:t>single solution for identity, access and authorization</w:t>
      </w:r>
      <w:r w:rsidR="00E12ED0">
        <w:t>.</w:t>
      </w:r>
      <w:r w:rsidR="0052207D">
        <w:t xml:space="preserve"> </w:t>
      </w:r>
      <w:r w:rsidR="00E12ED0">
        <w:t>This includes</w:t>
      </w:r>
      <w:r w:rsidR="00163FEB" w:rsidRPr="00163FEB">
        <w:t xml:space="preserve"> the capabilities for </w:t>
      </w:r>
      <w:r w:rsidR="00496F6F">
        <w:t xml:space="preserve">an array of </w:t>
      </w:r>
      <w:r w:rsidR="00742588">
        <w:t xml:space="preserve">patient-facing digital health </w:t>
      </w:r>
      <w:r w:rsidR="005277A3">
        <w:t>applications</w:t>
      </w:r>
      <w:r w:rsidR="00163FEB" w:rsidRPr="00163FEB">
        <w:t xml:space="preserve"> </w:t>
      </w:r>
      <w:r w:rsidR="00E12ED0">
        <w:t>that conform to Ontario standards,</w:t>
      </w:r>
      <w:r w:rsidR="00163FEB" w:rsidRPr="00163FEB">
        <w:t xml:space="preserve"> </w:t>
      </w:r>
      <w:r>
        <w:t xml:space="preserve">to </w:t>
      </w:r>
      <w:r w:rsidR="00496F6F">
        <w:t xml:space="preserve">securely </w:t>
      </w:r>
      <w:r w:rsidR="00E12ED0">
        <w:t xml:space="preserve">enable Ontarians to </w:t>
      </w:r>
      <w:r>
        <w:t xml:space="preserve">access their </w:t>
      </w:r>
      <w:r w:rsidR="004429FD">
        <w:t>PHI</w:t>
      </w:r>
      <w:r>
        <w:t xml:space="preserve"> or participate in virtual care encounters.</w:t>
      </w:r>
    </w:p>
    <w:p w14:paraId="218BA84C" w14:textId="4436CB2D" w:rsidR="00FA3851" w:rsidRDefault="00FA3851" w:rsidP="00FA3851">
      <w:r>
        <w:t>Individuals</w:t>
      </w:r>
      <w:r w:rsidRPr="00A03C1E">
        <w:t xml:space="preserve"> </w:t>
      </w:r>
      <w:r>
        <w:t xml:space="preserve">and HCPs </w:t>
      </w:r>
      <w:r w:rsidRPr="00A03C1E">
        <w:t xml:space="preserve">must </w:t>
      </w:r>
      <w:r>
        <w:t>be able to</w:t>
      </w:r>
      <w:r w:rsidRPr="00A03C1E">
        <w:t xml:space="preserve"> trust</w:t>
      </w:r>
      <w:r>
        <w:t xml:space="preserve"> that</w:t>
      </w:r>
      <w:r w:rsidRPr="00A03C1E">
        <w:t xml:space="preserve"> the </w:t>
      </w:r>
      <w:r>
        <w:t>PHI</w:t>
      </w:r>
      <w:r w:rsidRPr="00A03C1E">
        <w:t xml:space="preserve"> they </w:t>
      </w:r>
      <w:r>
        <w:t>access</w:t>
      </w:r>
      <w:r w:rsidRPr="00A03C1E">
        <w:t xml:space="preserve"> </w:t>
      </w:r>
      <w:r>
        <w:t>is legitimate and accurate.</w:t>
      </w:r>
      <w:r w:rsidR="0052207D">
        <w:t xml:space="preserve"> </w:t>
      </w:r>
      <w:r>
        <w:t>To this end, our</w:t>
      </w:r>
      <w:r w:rsidRPr="00A03C1E">
        <w:t xml:space="preserve"> vision </w:t>
      </w:r>
      <w:r>
        <w:t xml:space="preserve">also </w:t>
      </w:r>
      <w:r w:rsidRPr="00A03C1E">
        <w:t xml:space="preserve">requires a reliable </w:t>
      </w:r>
      <w:r>
        <w:t xml:space="preserve">digital </w:t>
      </w:r>
      <w:r w:rsidRPr="00A03C1E">
        <w:t xml:space="preserve">IAA service that </w:t>
      </w:r>
      <w:r>
        <w:t>stands</w:t>
      </w:r>
      <w:r w:rsidRPr="00A03C1E">
        <w:t xml:space="preserve"> as one of </w:t>
      </w:r>
      <w:proofErr w:type="gramStart"/>
      <w:r w:rsidRPr="00A03C1E">
        <w:t>a number of</w:t>
      </w:r>
      <w:proofErr w:type="gramEnd"/>
      <w:r w:rsidRPr="00A03C1E">
        <w:t xml:space="preserve"> core services that </w:t>
      </w:r>
      <w:r>
        <w:t>are aligned to relevant standards</w:t>
      </w:r>
      <w:r w:rsidR="00B15D82">
        <w:t xml:space="preserve"> and </w:t>
      </w:r>
      <w:r w:rsidR="00B15D82">
        <w:lastRenderedPageBreak/>
        <w:t>frameworks</w:t>
      </w:r>
      <w:r>
        <w:t xml:space="preserve"> </w:t>
      </w:r>
      <w:r w:rsidRPr="00A50C9C">
        <w:t>(</w:t>
      </w:r>
      <w:r>
        <w:t xml:space="preserve">e.g. </w:t>
      </w:r>
      <w:r w:rsidRPr="00A50C9C">
        <w:t>OpenID Connect</w:t>
      </w:r>
      <w:r>
        <w:rPr>
          <w:rStyle w:val="FootnoteReference"/>
        </w:rPr>
        <w:footnoteReference w:id="5"/>
      </w:r>
      <w:r w:rsidRPr="00A50C9C">
        <w:t>, O</w:t>
      </w:r>
      <w:r>
        <w:t xml:space="preserve">pen </w:t>
      </w:r>
      <w:r w:rsidRPr="00A50C9C">
        <w:t>M</w:t>
      </w:r>
      <w:r>
        <w:t xml:space="preserve">obile </w:t>
      </w:r>
      <w:r w:rsidRPr="00A50C9C">
        <w:t>A</w:t>
      </w:r>
      <w:r>
        <w:t>lliance</w:t>
      </w:r>
      <w:r>
        <w:rPr>
          <w:rStyle w:val="FootnoteReference"/>
        </w:rPr>
        <w:footnoteReference w:id="6"/>
      </w:r>
      <w:r w:rsidRPr="00A50C9C">
        <w:t xml:space="preserve">, </w:t>
      </w:r>
      <w:r>
        <w:t>World Wide Web Consortium</w:t>
      </w:r>
      <w:r>
        <w:rPr>
          <w:rStyle w:val="FootnoteReference"/>
        </w:rPr>
        <w:footnoteReference w:id="7"/>
      </w:r>
      <w:r w:rsidRPr="00A50C9C">
        <w:t xml:space="preserve">) and conform to </w:t>
      </w:r>
      <w:r>
        <w:t>the Digital ID &amp; Authentication Council of Canada’s (DIACC) Pan-Canadian Trust Framework</w:t>
      </w:r>
      <w:r w:rsidR="001F6F47">
        <w:rPr>
          <w:rStyle w:val="FootnoteReference"/>
        </w:rPr>
        <w:footnoteReference w:id="8"/>
      </w:r>
      <w:r>
        <w:t>.</w:t>
      </w:r>
      <w:r w:rsidR="0052207D">
        <w:t xml:space="preserve"> </w:t>
      </w:r>
    </w:p>
    <w:p w14:paraId="2D02EF45" w14:textId="41737460" w:rsidR="003A17E3" w:rsidRDefault="002B61C2" w:rsidP="008558F7">
      <w:r>
        <w:t xml:space="preserve">It also </w:t>
      </w:r>
      <w:r w:rsidR="0030157D">
        <w:t>means implementing more than technology solutions</w:t>
      </w:r>
      <w:r>
        <w:t>, including</w:t>
      </w:r>
      <w:r w:rsidR="0030157D">
        <w:t xml:space="preserve"> </w:t>
      </w:r>
      <w:r w:rsidR="00C978EA">
        <w:t>easy-to-use</w:t>
      </w:r>
      <w:r w:rsidR="0030157D">
        <w:t xml:space="preserve"> supports for all clients of the service so that</w:t>
      </w:r>
      <w:r w:rsidR="00184476">
        <w:t>:</w:t>
      </w:r>
    </w:p>
    <w:p w14:paraId="443C8F15" w14:textId="63E4C32B" w:rsidR="003A17E3" w:rsidRDefault="00184476" w:rsidP="003A17E3">
      <w:pPr>
        <w:pStyle w:val="ListParagraph"/>
        <w:numPr>
          <w:ilvl w:val="0"/>
          <w:numId w:val="31"/>
        </w:numPr>
      </w:pPr>
      <w:r>
        <w:t>Patients can d</w:t>
      </w:r>
      <w:r w:rsidR="003A17E3">
        <w:t xml:space="preserve">igitally </w:t>
      </w:r>
      <w:r w:rsidR="0030157D">
        <w:t>access</w:t>
      </w:r>
      <w:r w:rsidR="00C23129">
        <w:t xml:space="preserve"> and grant access to</w:t>
      </w:r>
      <w:r w:rsidR="0030157D">
        <w:t xml:space="preserve"> their PHI and participate in virtual care encounters</w:t>
      </w:r>
      <w:r w:rsidR="003A17E3">
        <w:t xml:space="preserve">; </w:t>
      </w:r>
    </w:p>
    <w:p w14:paraId="1916C9C1" w14:textId="6A55C316" w:rsidR="003A17E3" w:rsidRDefault="00E83E64" w:rsidP="003A17E3">
      <w:pPr>
        <w:pStyle w:val="ListParagraph"/>
        <w:numPr>
          <w:ilvl w:val="0"/>
          <w:numId w:val="31"/>
        </w:numPr>
      </w:pPr>
      <w:r>
        <w:t>HCP</w:t>
      </w:r>
      <w:r w:rsidR="0030157D">
        <w:t xml:space="preserve">s can </w:t>
      </w:r>
      <w:r w:rsidR="00184476">
        <w:t>provide excellent care for their patients in a convenient, modern way</w:t>
      </w:r>
      <w:r w:rsidR="003A17E3">
        <w:t>;</w:t>
      </w:r>
      <w:r w:rsidR="0030157D">
        <w:t xml:space="preserve"> and</w:t>
      </w:r>
    </w:p>
    <w:p w14:paraId="4352B174" w14:textId="39DD21BE" w:rsidR="00A03C1E" w:rsidRDefault="003A17E3" w:rsidP="009D4B99">
      <w:pPr>
        <w:pStyle w:val="ListParagraph"/>
        <w:numPr>
          <w:ilvl w:val="0"/>
          <w:numId w:val="31"/>
        </w:numPr>
      </w:pPr>
      <w:r>
        <w:t>G</w:t>
      </w:r>
      <w:r w:rsidR="00323A48">
        <w:t>overnment</w:t>
      </w:r>
      <w:r w:rsidR="0030157D">
        <w:t xml:space="preserve"> and its agencies have a high level of assurance that vendors </w:t>
      </w:r>
      <w:r w:rsidR="00FB4145">
        <w:t xml:space="preserve">whose </w:t>
      </w:r>
      <w:r w:rsidR="00FA3851">
        <w:t xml:space="preserve">secure and privacy-respecting </w:t>
      </w:r>
      <w:r w:rsidR="00FB4145">
        <w:t xml:space="preserve">patient-facing digital health </w:t>
      </w:r>
      <w:r w:rsidR="005277A3">
        <w:t>applications</w:t>
      </w:r>
      <w:r w:rsidR="0030157D">
        <w:t xml:space="preserve"> </w:t>
      </w:r>
      <w:r w:rsidR="00FB4145">
        <w:t xml:space="preserve">integrate </w:t>
      </w:r>
      <w:r w:rsidR="0030157D">
        <w:t>with provincial digital health assets are treating Ontarians’ PHI with the highest level of care.</w:t>
      </w:r>
    </w:p>
    <w:p w14:paraId="73644FC9" w14:textId="77777777" w:rsidR="00184476" w:rsidRDefault="00184476" w:rsidP="00184476">
      <w:pPr>
        <w:pStyle w:val="ListParagraph"/>
        <w:ind w:left="788"/>
      </w:pPr>
    </w:p>
    <w:p w14:paraId="03593E06" w14:textId="1B533EC1" w:rsidR="00FE0DA9" w:rsidRDefault="003B7B8B" w:rsidP="007C58CC">
      <w:pPr>
        <w:pStyle w:val="Heading2"/>
      </w:pPr>
      <w:bookmarkStart w:id="10" w:name="_Toc12826525"/>
      <w:bookmarkStart w:id="11" w:name="_Toc13242964"/>
      <w:r>
        <w:t xml:space="preserve">3.1 </w:t>
      </w:r>
      <w:r w:rsidR="00FE0DA9">
        <w:t xml:space="preserve">Project </w:t>
      </w:r>
      <w:r w:rsidR="002D21BE">
        <w:t>goals</w:t>
      </w:r>
      <w:bookmarkEnd w:id="10"/>
      <w:bookmarkEnd w:id="11"/>
    </w:p>
    <w:p w14:paraId="30FA4F22" w14:textId="57FCB8EC" w:rsidR="006762AF" w:rsidRDefault="007515D0" w:rsidP="00F42005">
      <w:r>
        <w:t>Our goal for the</w:t>
      </w:r>
      <w:r w:rsidR="009C4D27">
        <w:t xml:space="preserve"> p</w:t>
      </w:r>
      <w:r w:rsidR="006762AF" w:rsidRPr="006762AF">
        <w:t xml:space="preserve">atient digital </w:t>
      </w:r>
      <w:r w:rsidR="009C4D27">
        <w:t xml:space="preserve">IAA </w:t>
      </w:r>
      <w:r w:rsidR="0081762C">
        <w:t>service</w:t>
      </w:r>
      <w:r w:rsidR="009C4D27">
        <w:t xml:space="preserve"> </w:t>
      </w:r>
      <w:r>
        <w:t xml:space="preserve">is that it </w:t>
      </w:r>
      <w:r w:rsidR="002D21BE">
        <w:t xml:space="preserve">should </w:t>
      </w:r>
      <w:r w:rsidR="00AE1291">
        <w:t>enable</w:t>
      </w:r>
      <w:r w:rsidR="006762AF" w:rsidRPr="006762AF">
        <w:t xml:space="preserve"> Ontarians </w:t>
      </w:r>
      <w:r w:rsidR="00333B23">
        <w:t>using</w:t>
      </w:r>
      <w:r w:rsidR="006762AF" w:rsidRPr="006762AF">
        <w:t xml:space="preserve"> </w:t>
      </w:r>
      <w:r w:rsidR="00AB2D6F" w:rsidRPr="00AB2D6F">
        <w:t xml:space="preserve">secure and privacy-respecting </w:t>
      </w:r>
      <w:r w:rsidR="009E79D1">
        <w:t xml:space="preserve">third-party </w:t>
      </w:r>
      <w:r w:rsidR="00742588">
        <w:t xml:space="preserve">patient-facing digital health </w:t>
      </w:r>
      <w:r w:rsidR="005277A3">
        <w:t>applications</w:t>
      </w:r>
      <w:r w:rsidR="00333B23" w:rsidRPr="00333B23">
        <w:t>, who present specific credentials</w:t>
      </w:r>
      <w:r w:rsidR="00333B23">
        <w:t xml:space="preserve">, </w:t>
      </w:r>
      <w:r w:rsidR="006762AF" w:rsidRPr="006762AF">
        <w:t xml:space="preserve">to perform </w:t>
      </w:r>
      <w:proofErr w:type="gramStart"/>
      <w:r w:rsidR="006762AF" w:rsidRPr="006762AF">
        <w:t>a number of</w:t>
      </w:r>
      <w:proofErr w:type="gramEnd"/>
      <w:r w:rsidR="006762AF" w:rsidRPr="006762AF">
        <w:t xml:space="preserve"> important </w:t>
      </w:r>
      <w:r w:rsidR="002F39E5">
        <w:t xml:space="preserve">clinical </w:t>
      </w:r>
      <w:r w:rsidR="006762AF" w:rsidRPr="006762AF">
        <w:t>transactions while ensuring the security</w:t>
      </w:r>
      <w:r w:rsidR="002F39E5">
        <w:t xml:space="preserve">, privacy </w:t>
      </w:r>
      <w:r w:rsidR="006762AF" w:rsidRPr="006762AF">
        <w:t xml:space="preserve">and safety of </w:t>
      </w:r>
      <w:r w:rsidR="009C4D27">
        <w:t>their</w:t>
      </w:r>
      <w:r w:rsidR="006762AF">
        <w:t xml:space="preserve"> </w:t>
      </w:r>
      <w:r w:rsidR="00F233BD">
        <w:t>PHI and its provenance</w:t>
      </w:r>
      <w:r w:rsidR="00AE1291">
        <w:t>, including</w:t>
      </w:r>
      <w:r w:rsidR="00F233BD">
        <w:t xml:space="preserve"> being able to</w:t>
      </w:r>
      <w:r w:rsidR="00915BEB">
        <w:t>:</w:t>
      </w:r>
    </w:p>
    <w:p w14:paraId="2808D737" w14:textId="63E025AF" w:rsidR="006762AF" w:rsidRDefault="006762AF" w:rsidP="004F402E">
      <w:pPr>
        <w:pStyle w:val="ListParagraph"/>
        <w:numPr>
          <w:ilvl w:val="0"/>
          <w:numId w:val="14"/>
        </w:numPr>
      </w:pPr>
      <w:r w:rsidRPr="006762AF">
        <w:t>Digitally acc</w:t>
      </w:r>
      <w:r>
        <w:t xml:space="preserve">ess </w:t>
      </w:r>
      <w:r w:rsidR="007B4674">
        <w:t>PHI</w:t>
      </w:r>
      <w:r>
        <w:t xml:space="preserve"> </w:t>
      </w:r>
      <w:r w:rsidRPr="006762AF">
        <w:t>(e.g. lab test results, prescription information)</w:t>
      </w:r>
      <w:r w:rsidR="00F233BD">
        <w:t xml:space="preserve"> from a variety of </w:t>
      </w:r>
      <w:r w:rsidR="005E08B7">
        <w:t xml:space="preserve">sources including </w:t>
      </w:r>
      <w:r w:rsidR="00F233BD">
        <w:t>HCP systems</w:t>
      </w:r>
      <w:r w:rsidR="005E08B7">
        <w:t xml:space="preserve"> and</w:t>
      </w:r>
      <w:r w:rsidR="00D34BDC">
        <w:t xml:space="preserve"> provincial repositories</w:t>
      </w:r>
      <w:r w:rsidR="007218E7">
        <w:t>.</w:t>
      </w:r>
    </w:p>
    <w:p w14:paraId="3F4B6F9D" w14:textId="793983D8" w:rsidR="00F233BD" w:rsidRDefault="00F233BD" w:rsidP="004F402E">
      <w:pPr>
        <w:pStyle w:val="ListParagraph"/>
        <w:numPr>
          <w:ilvl w:val="0"/>
          <w:numId w:val="14"/>
        </w:numPr>
      </w:pPr>
      <w:r>
        <w:t xml:space="preserve">Have their PHI in a usable state and move with them from HCP to HCP or </w:t>
      </w:r>
      <w:r w:rsidRPr="00F233BD">
        <w:t>OHT to OHT</w:t>
      </w:r>
      <w:r>
        <w:t>, anywhere in the province</w:t>
      </w:r>
      <w:r w:rsidRPr="00F233BD">
        <w:t>.</w:t>
      </w:r>
    </w:p>
    <w:p w14:paraId="72AD7A1B" w14:textId="74BF7480" w:rsidR="006762AF" w:rsidRDefault="006762AF" w:rsidP="006762AF">
      <w:pPr>
        <w:pStyle w:val="ListParagraph"/>
        <w:numPr>
          <w:ilvl w:val="0"/>
          <w:numId w:val="14"/>
        </w:numPr>
      </w:pPr>
      <w:r w:rsidRPr="006762AF">
        <w:t>Interact virtually with a</w:t>
      </w:r>
      <w:r w:rsidR="006D0FE3">
        <w:t>n</w:t>
      </w:r>
      <w:r w:rsidRPr="006762AF">
        <w:t xml:space="preserve"> </w:t>
      </w:r>
      <w:r w:rsidR="00C22D3A">
        <w:t xml:space="preserve">HCP </w:t>
      </w:r>
      <w:r w:rsidRPr="006762AF">
        <w:t>via video visit or secure messaging.</w:t>
      </w:r>
    </w:p>
    <w:p w14:paraId="31601D42" w14:textId="591929B3" w:rsidR="006762AF" w:rsidRDefault="006762AF" w:rsidP="006762AF">
      <w:pPr>
        <w:pStyle w:val="ListParagraph"/>
        <w:numPr>
          <w:ilvl w:val="0"/>
          <w:numId w:val="14"/>
        </w:numPr>
      </w:pPr>
      <w:r w:rsidRPr="006762AF">
        <w:t xml:space="preserve">Digitally share </w:t>
      </w:r>
      <w:r w:rsidR="00A43944">
        <w:t xml:space="preserve">PHI and other </w:t>
      </w:r>
      <w:r w:rsidRPr="006762AF">
        <w:t xml:space="preserve">important information with their </w:t>
      </w:r>
      <w:r w:rsidR="00C22D3A">
        <w:t>HCP</w:t>
      </w:r>
      <w:r w:rsidRPr="006762AF">
        <w:t>s</w:t>
      </w:r>
      <w:r w:rsidR="00CC5DA9">
        <w:t xml:space="preserve"> and caregivers</w:t>
      </w:r>
      <w:r w:rsidRPr="006762AF">
        <w:t>.</w:t>
      </w:r>
    </w:p>
    <w:p w14:paraId="042041A7" w14:textId="204C3A7D" w:rsidR="007218E7" w:rsidRDefault="00142A65" w:rsidP="00296B74">
      <w:pPr>
        <w:pStyle w:val="ListParagraph"/>
        <w:numPr>
          <w:ilvl w:val="0"/>
          <w:numId w:val="14"/>
        </w:numPr>
      </w:pPr>
      <w:r>
        <w:t>D</w:t>
      </w:r>
      <w:r w:rsidR="00A43944">
        <w:t xml:space="preserve">igitally </w:t>
      </w:r>
      <w:r w:rsidR="00FA3399">
        <w:t xml:space="preserve">control </w:t>
      </w:r>
      <w:r w:rsidR="004D632F">
        <w:t xml:space="preserve">who has </w:t>
      </w:r>
      <w:r w:rsidR="00FA3399">
        <w:t xml:space="preserve">access to their </w:t>
      </w:r>
      <w:r w:rsidR="00C22D3A">
        <w:t xml:space="preserve">PHI </w:t>
      </w:r>
      <w:r w:rsidR="00FA3399">
        <w:t>through consent and access controls.</w:t>
      </w:r>
    </w:p>
    <w:p w14:paraId="5E4A946C" w14:textId="60D0B88C" w:rsidR="00D47483" w:rsidRDefault="00D47483" w:rsidP="00D47483"/>
    <w:p w14:paraId="4244B8E9" w14:textId="77777777" w:rsidR="00D47483" w:rsidRPr="006762AF" w:rsidRDefault="00D47483" w:rsidP="009D4B99"/>
    <w:p w14:paraId="5F096DBC" w14:textId="0A8D1E94" w:rsidR="00295693" w:rsidRDefault="003B7B8B" w:rsidP="00296B74">
      <w:pPr>
        <w:pStyle w:val="Heading2"/>
      </w:pPr>
      <w:bookmarkStart w:id="12" w:name="_Toc12826526"/>
      <w:bookmarkStart w:id="13" w:name="_Toc13242965"/>
      <w:r>
        <w:t xml:space="preserve">3.2 </w:t>
      </w:r>
      <w:r w:rsidR="00295693">
        <w:t xml:space="preserve">Project </w:t>
      </w:r>
      <w:r w:rsidR="004B5EDC">
        <w:t>outputs</w:t>
      </w:r>
      <w:bookmarkEnd w:id="12"/>
      <w:bookmarkEnd w:id="13"/>
    </w:p>
    <w:p w14:paraId="3C094669" w14:textId="236BDD6F" w:rsidR="004F402E" w:rsidRDefault="007515D0" w:rsidP="00296B74">
      <w:proofErr w:type="gramStart"/>
      <w:r>
        <w:t>In order to</w:t>
      </w:r>
      <w:proofErr w:type="gramEnd"/>
      <w:r>
        <w:t xml:space="preserve"> achieve this goal, we will require the </w:t>
      </w:r>
      <w:r w:rsidR="00A66D74">
        <w:t>Lead Organization</w:t>
      </w:r>
      <w:r>
        <w:t xml:space="preserve"> to </w:t>
      </w:r>
      <w:r w:rsidR="004B5EDC">
        <w:t xml:space="preserve">produce </w:t>
      </w:r>
      <w:r>
        <w:t xml:space="preserve">a </w:t>
      </w:r>
      <w:r w:rsidR="004F402E">
        <w:t xml:space="preserve">public-facing </w:t>
      </w:r>
      <w:r w:rsidR="00D930E6">
        <w:t xml:space="preserve">digital </w:t>
      </w:r>
      <w:r w:rsidR="00247151">
        <w:t xml:space="preserve">IAA </w:t>
      </w:r>
      <w:r w:rsidR="004F402E">
        <w:t>service that:</w:t>
      </w:r>
    </w:p>
    <w:p w14:paraId="73470BB6" w14:textId="1DF996F8" w:rsidR="00A313CB" w:rsidRDefault="004F402E" w:rsidP="00A313CB">
      <w:pPr>
        <w:pStyle w:val="ListParagraph"/>
        <w:numPr>
          <w:ilvl w:val="0"/>
          <w:numId w:val="28"/>
        </w:numPr>
      </w:pPr>
      <w:r>
        <w:t>Validates and verifies the individual’s identity</w:t>
      </w:r>
      <w:r w:rsidR="00615A64">
        <w:t xml:space="preserve">, </w:t>
      </w:r>
      <w:r w:rsidR="00615A64" w:rsidRPr="00615A64">
        <w:t xml:space="preserve">compliant with </w:t>
      </w:r>
      <w:r w:rsidR="00C22D3A">
        <w:t>m</w:t>
      </w:r>
      <w:r w:rsidR="00615A64" w:rsidRPr="00615A64">
        <w:t xml:space="preserve">inistry and </w:t>
      </w:r>
      <w:r w:rsidR="00D57E7D">
        <w:t>Ontario Public Service (</w:t>
      </w:r>
      <w:r w:rsidR="00615A64" w:rsidRPr="00615A64">
        <w:t>OPS</w:t>
      </w:r>
      <w:r w:rsidR="00D57E7D">
        <w:t>)</w:t>
      </w:r>
      <w:r w:rsidR="00615A64" w:rsidRPr="00615A64">
        <w:t xml:space="preserve"> standards</w:t>
      </w:r>
      <w:r w:rsidR="00195AA3">
        <w:rPr>
          <w:rStyle w:val="FootnoteReference"/>
        </w:rPr>
        <w:footnoteReference w:id="9"/>
      </w:r>
      <w:r w:rsidR="00A313CB">
        <w:t>;</w:t>
      </w:r>
    </w:p>
    <w:p w14:paraId="5363EEE5" w14:textId="51035D89" w:rsidR="00A313CB" w:rsidRDefault="00615A64" w:rsidP="00A313CB">
      <w:pPr>
        <w:pStyle w:val="ListParagraph"/>
        <w:numPr>
          <w:ilvl w:val="0"/>
          <w:numId w:val="28"/>
        </w:numPr>
      </w:pPr>
      <w:r>
        <w:t xml:space="preserve">Provides </w:t>
      </w:r>
      <w:r w:rsidR="00C22D3A">
        <w:t>an</w:t>
      </w:r>
      <w:r>
        <w:t xml:space="preserve"> authentication capability for the</w:t>
      </w:r>
      <w:r w:rsidR="004F402E">
        <w:t xml:space="preserve"> individual so they can set up a digital health account</w:t>
      </w:r>
      <w:r>
        <w:t>/wallet</w:t>
      </w:r>
      <w:r w:rsidR="004F402E">
        <w:t xml:space="preserve"> and use</w:t>
      </w:r>
      <w:r>
        <w:t xml:space="preserve"> the same authentication credential with</w:t>
      </w:r>
      <w:r w:rsidR="004F402E">
        <w:t xml:space="preserve"> third-party </w:t>
      </w:r>
      <w:r w:rsidR="0073307B">
        <w:t>patient-</w:t>
      </w:r>
      <w:r w:rsidR="0065087B">
        <w:t>facing</w:t>
      </w:r>
      <w:r w:rsidR="0073307B">
        <w:t xml:space="preserve"> </w:t>
      </w:r>
      <w:r w:rsidR="004F402E">
        <w:t xml:space="preserve">digital </w:t>
      </w:r>
      <w:r>
        <w:t xml:space="preserve">health </w:t>
      </w:r>
      <w:r w:rsidR="005277A3">
        <w:t>applications</w:t>
      </w:r>
      <w:r>
        <w:t xml:space="preserve"> </w:t>
      </w:r>
      <w:r w:rsidR="004F402E">
        <w:t>to access their PHI and virtual care services</w:t>
      </w:r>
      <w:r w:rsidR="00A313CB">
        <w:t xml:space="preserve">; </w:t>
      </w:r>
    </w:p>
    <w:p w14:paraId="1DDFE79A" w14:textId="31F0E303" w:rsidR="004F402E" w:rsidRDefault="00615A64" w:rsidP="00671ACE">
      <w:pPr>
        <w:pStyle w:val="ListParagraph"/>
        <w:numPr>
          <w:ilvl w:val="0"/>
          <w:numId w:val="28"/>
        </w:numPr>
      </w:pPr>
      <w:r>
        <w:t xml:space="preserve">Provides the necessary capabilities for an </w:t>
      </w:r>
      <w:r w:rsidR="007515D0">
        <w:t xml:space="preserve">individual to </w:t>
      </w:r>
      <w:r w:rsidR="004F402E">
        <w:t xml:space="preserve">easily manage their consent and </w:t>
      </w:r>
      <w:r>
        <w:t>access directives for their PHI</w:t>
      </w:r>
      <w:r w:rsidR="005472F4">
        <w:t xml:space="preserve"> through </w:t>
      </w:r>
      <w:r w:rsidR="00FB1B66">
        <w:t>the digital health account/wallet</w:t>
      </w:r>
      <w:r w:rsidR="00195AA3">
        <w:t>;</w:t>
      </w:r>
      <w:r w:rsidR="00671ACE">
        <w:t xml:space="preserve"> </w:t>
      </w:r>
    </w:p>
    <w:p w14:paraId="49257E6F" w14:textId="3FB4CB59" w:rsidR="00061586" w:rsidRDefault="00BE274F" w:rsidP="00296B74">
      <w:pPr>
        <w:pStyle w:val="ListParagraph"/>
        <w:numPr>
          <w:ilvl w:val="0"/>
          <w:numId w:val="28"/>
        </w:numPr>
      </w:pPr>
      <w:r>
        <w:t>Enables</w:t>
      </w:r>
      <w:r w:rsidR="00061586" w:rsidRPr="00061586">
        <w:t xml:space="preserve"> </w:t>
      </w:r>
      <w:r w:rsidR="00184476">
        <w:t>one or more</w:t>
      </w:r>
      <w:r w:rsidR="00061586" w:rsidRPr="00061586">
        <w:t xml:space="preserve"> </w:t>
      </w:r>
      <w:r>
        <w:t>patient-</w:t>
      </w:r>
      <w:r w:rsidR="0065087B">
        <w:t>facing</w:t>
      </w:r>
      <w:r>
        <w:t xml:space="preserve"> digital health </w:t>
      </w:r>
      <w:r w:rsidR="005277A3">
        <w:t>application</w:t>
      </w:r>
      <w:r w:rsidR="00184476">
        <w:t>s</w:t>
      </w:r>
      <w:r w:rsidR="00061586" w:rsidRPr="00061586">
        <w:t xml:space="preserve"> that utilize this IAA service to access </w:t>
      </w:r>
      <w:r w:rsidR="00061586">
        <w:t>an individual’s</w:t>
      </w:r>
      <w:r w:rsidR="00061586" w:rsidRPr="00061586">
        <w:t xml:space="preserve"> </w:t>
      </w:r>
      <w:r w:rsidR="00061586">
        <w:t>PHI</w:t>
      </w:r>
      <w:r w:rsidR="00195AA3">
        <w:t>; and,</w:t>
      </w:r>
    </w:p>
    <w:p w14:paraId="138919F7" w14:textId="15E9E3C9" w:rsidR="00061586" w:rsidRDefault="00061586" w:rsidP="00296B74">
      <w:pPr>
        <w:pStyle w:val="ListParagraph"/>
        <w:numPr>
          <w:ilvl w:val="0"/>
          <w:numId w:val="28"/>
        </w:numPr>
      </w:pPr>
      <w:r>
        <w:t>P</w:t>
      </w:r>
      <w:r w:rsidRPr="00061586">
        <w:t>rovide</w:t>
      </w:r>
      <w:r w:rsidR="003408FC">
        <w:t>s</w:t>
      </w:r>
      <w:r w:rsidRPr="00061586">
        <w:t xml:space="preserve"> a mechanism for </w:t>
      </w:r>
      <w:r w:rsidR="00414879">
        <w:t xml:space="preserve">an </w:t>
      </w:r>
      <w:r w:rsidR="00671ACE">
        <w:t>HCP/OHT</w:t>
      </w:r>
      <w:r w:rsidRPr="00061586">
        <w:t xml:space="preserve"> to make</w:t>
      </w:r>
      <w:r>
        <w:t xml:space="preserve"> the PHI it </w:t>
      </w:r>
      <w:r w:rsidR="005648B9">
        <w:t xml:space="preserve">has in its custody and control </w:t>
      </w:r>
      <w:r w:rsidRPr="00061586">
        <w:t xml:space="preserve">available to the </w:t>
      </w:r>
      <w:r w:rsidR="0065087B">
        <w:t xml:space="preserve">patient-facing digital health </w:t>
      </w:r>
      <w:r w:rsidR="005277A3">
        <w:t>application</w:t>
      </w:r>
      <w:r w:rsidRPr="00061586">
        <w:t xml:space="preserve"> while applying the </w:t>
      </w:r>
      <w:r w:rsidR="00414879">
        <w:t xml:space="preserve">individual’s </w:t>
      </w:r>
      <w:r w:rsidRPr="00061586">
        <w:t>consent and access directives.</w:t>
      </w:r>
    </w:p>
    <w:p w14:paraId="48D45050" w14:textId="77777777" w:rsidR="00184476" w:rsidRDefault="00184476" w:rsidP="00184476">
      <w:pPr>
        <w:pStyle w:val="ListParagraph"/>
      </w:pPr>
    </w:p>
    <w:p w14:paraId="18B37E15" w14:textId="1F9B224B" w:rsidR="00FE0DA9" w:rsidRDefault="003B7B8B" w:rsidP="007C58CC">
      <w:pPr>
        <w:pStyle w:val="Heading2"/>
      </w:pPr>
      <w:bookmarkStart w:id="14" w:name="_Toc12826527"/>
      <w:bookmarkStart w:id="15" w:name="_Toc13242966"/>
      <w:r>
        <w:t xml:space="preserve">3.3 </w:t>
      </w:r>
      <w:r w:rsidR="00E90121">
        <w:t xml:space="preserve">Project teams </w:t>
      </w:r>
      <w:r w:rsidR="000C4B35">
        <w:t xml:space="preserve">and the role of the </w:t>
      </w:r>
      <w:r w:rsidR="00A66D74">
        <w:t>Lead Organization</w:t>
      </w:r>
      <w:bookmarkEnd w:id="14"/>
      <w:bookmarkEnd w:id="15"/>
    </w:p>
    <w:p w14:paraId="7707C3DD" w14:textId="7CB9CE37" w:rsidR="00E90121" w:rsidRDefault="004B5EDC" w:rsidP="00D17AC2">
      <w:r>
        <w:t xml:space="preserve">Project teams </w:t>
      </w:r>
      <w:r w:rsidR="00FE0DA9">
        <w:t xml:space="preserve">of two or more organizations are encouraged to apply. </w:t>
      </w:r>
      <w:r w:rsidR="005648B9">
        <w:t xml:space="preserve">Applications must be submitted by </w:t>
      </w:r>
      <w:r w:rsidR="00F57B38">
        <w:t>the</w:t>
      </w:r>
      <w:r w:rsidR="00FE0DA9">
        <w:t xml:space="preserve"> </w:t>
      </w:r>
      <w:r w:rsidR="00A66D74">
        <w:t xml:space="preserve">Lead </w:t>
      </w:r>
      <w:proofErr w:type="gramStart"/>
      <w:r w:rsidR="00A66D74">
        <w:t>Organization</w:t>
      </w:r>
      <w:r w:rsidR="00E90121">
        <w:t>,</w:t>
      </w:r>
      <w:r w:rsidR="009B5A6E">
        <w:t xml:space="preserve"> </w:t>
      </w:r>
      <w:r w:rsidR="00E90121">
        <w:t>and</w:t>
      </w:r>
      <w:proofErr w:type="gramEnd"/>
      <w:r w:rsidR="00E90121">
        <w:t xml:space="preserve"> must include a description of all </w:t>
      </w:r>
      <w:r w:rsidR="00BD754D">
        <w:t xml:space="preserve">project team </w:t>
      </w:r>
      <w:r w:rsidR="00E90121">
        <w:t xml:space="preserve">members including </w:t>
      </w:r>
      <w:r w:rsidR="00BD754D">
        <w:t>their</w:t>
      </w:r>
      <w:r w:rsidR="00E90121">
        <w:t xml:space="preserve"> </w:t>
      </w:r>
      <w:r w:rsidR="00281691">
        <w:t xml:space="preserve">designation </w:t>
      </w:r>
      <w:r w:rsidR="00E90121" w:rsidRPr="00281691">
        <w:t>under the PHIPA</w:t>
      </w:r>
      <w:r w:rsidR="00BD754D" w:rsidRPr="00281691">
        <w:t>, for example as HICs</w:t>
      </w:r>
      <w:r w:rsidR="00281691" w:rsidRPr="00281691">
        <w:t xml:space="preserve">, persons who provide </w:t>
      </w:r>
      <w:r w:rsidR="009B5A6E">
        <w:t xml:space="preserve">services </w:t>
      </w:r>
      <w:r w:rsidR="00281691" w:rsidRPr="00281691">
        <w:t>to custodians or other designations</w:t>
      </w:r>
      <w:r w:rsidR="00E90121">
        <w:t xml:space="preserve">, if </w:t>
      </w:r>
      <w:r w:rsidR="00D44FA6">
        <w:t>applicable</w:t>
      </w:r>
      <w:r w:rsidR="005648B9">
        <w:t xml:space="preserve">. </w:t>
      </w:r>
    </w:p>
    <w:p w14:paraId="38F8B00A" w14:textId="4ECF5ED4" w:rsidR="00FE0DA9" w:rsidRDefault="005648B9" w:rsidP="00D17AC2">
      <w:r>
        <w:t xml:space="preserve">If selected, the Lead Organization </w:t>
      </w:r>
      <w:r w:rsidR="00FE0DA9">
        <w:t xml:space="preserve">would be the recipient </w:t>
      </w:r>
      <w:r w:rsidR="00AE1291">
        <w:t xml:space="preserve">of any </w:t>
      </w:r>
      <w:r w:rsidR="00D11C15">
        <w:t>funding</w:t>
      </w:r>
      <w:r w:rsidR="00504777">
        <w:t xml:space="preserve"> and be accountable </w:t>
      </w:r>
      <w:r>
        <w:t xml:space="preserve">to the ministry </w:t>
      </w:r>
      <w:r w:rsidR="00504777">
        <w:t xml:space="preserve">for </w:t>
      </w:r>
      <w:r>
        <w:t>the</w:t>
      </w:r>
      <w:r w:rsidR="00504777">
        <w:t xml:space="preserve"> project</w:t>
      </w:r>
      <w:r w:rsidR="00AE1291">
        <w:t>.</w:t>
      </w:r>
      <w:r w:rsidR="0052207D">
        <w:t xml:space="preserve"> </w:t>
      </w:r>
      <w:r w:rsidR="00892C0E">
        <w:t>The Lead Organization</w:t>
      </w:r>
      <w:r w:rsidR="00AE1291">
        <w:t xml:space="preserve"> would be expected to establish </w:t>
      </w:r>
      <w:r>
        <w:t xml:space="preserve">the necessary </w:t>
      </w:r>
      <w:r w:rsidR="00AE1291">
        <w:t>relationships with other broader public sector</w:t>
      </w:r>
      <w:r w:rsidR="0010788E">
        <w:t xml:space="preserve"> (BPS)</w:t>
      </w:r>
      <w:r w:rsidR="00AE1291">
        <w:t xml:space="preserve"> organizations, </w:t>
      </w:r>
      <w:r w:rsidR="009B5A6E">
        <w:t xml:space="preserve">any </w:t>
      </w:r>
      <w:r w:rsidR="00AE1291">
        <w:t xml:space="preserve">vendors and other participants </w:t>
      </w:r>
      <w:proofErr w:type="gramStart"/>
      <w:r>
        <w:t xml:space="preserve">in order </w:t>
      </w:r>
      <w:r w:rsidR="00AE1291">
        <w:t>to</w:t>
      </w:r>
      <w:proofErr w:type="gramEnd"/>
      <w:r w:rsidR="00AE1291">
        <w:t xml:space="preserve"> deliver the proposed patient digital IAA service</w:t>
      </w:r>
      <w:r w:rsidR="0010788E">
        <w:t xml:space="preserve"> in compliance with </w:t>
      </w:r>
      <w:r w:rsidR="00694337">
        <w:t>applicable</w:t>
      </w:r>
      <w:r w:rsidR="0010788E">
        <w:t xml:space="preserve"> OPS and BPS procurement directives</w:t>
      </w:r>
      <w:r w:rsidR="00FE0DA9">
        <w:t xml:space="preserve">. </w:t>
      </w:r>
    </w:p>
    <w:p w14:paraId="66797AED" w14:textId="5D6DB5EE" w:rsidR="009B5A6E" w:rsidRDefault="009B5A6E" w:rsidP="00D17AC2"/>
    <w:p w14:paraId="54E95183" w14:textId="10EDCF28" w:rsidR="009B5A6E" w:rsidRDefault="009B5A6E" w:rsidP="00D17AC2"/>
    <w:p w14:paraId="0E30FEB6" w14:textId="77777777" w:rsidR="009B5A6E" w:rsidRDefault="009B5A6E" w:rsidP="00D17AC2"/>
    <w:p w14:paraId="1F80F515" w14:textId="630493E2" w:rsidR="00A97671" w:rsidRDefault="00116F84" w:rsidP="007C44F6">
      <w:pPr>
        <w:pStyle w:val="Heading2"/>
      </w:pPr>
      <w:bookmarkStart w:id="16" w:name="_Toc12826528"/>
      <w:bookmarkStart w:id="17" w:name="_Toc13242967"/>
      <w:r>
        <w:t xml:space="preserve">3.4 Additional project </w:t>
      </w:r>
      <w:r w:rsidR="008E7684">
        <w:t>requirements</w:t>
      </w:r>
      <w:bookmarkEnd w:id="16"/>
      <w:bookmarkEnd w:id="17"/>
    </w:p>
    <w:p w14:paraId="720E5B36" w14:textId="61EE50E1" w:rsidR="00E53EAB" w:rsidRDefault="00910607" w:rsidP="00E53EAB">
      <w:r>
        <w:t xml:space="preserve">To accomplish </w:t>
      </w:r>
      <w:r w:rsidR="00323A48">
        <w:t>the</w:t>
      </w:r>
      <w:r w:rsidR="008E7684">
        <w:t xml:space="preserve"> goals</w:t>
      </w:r>
      <w:r>
        <w:t xml:space="preserve"> for </w:t>
      </w:r>
      <w:r w:rsidR="008E7684">
        <w:t xml:space="preserve">a </w:t>
      </w:r>
      <w:r>
        <w:t>patient digital IAA</w:t>
      </w:r>
      <w:r w:rsidR="008E7684">
        <w:t xml:space="preserve"> service</w:t>
      </w:r>
      <w:r w:rsidR="007A4F25">
        <w:t xml:space="preserve">, and to inform the </w:t>
      </w:r>
      <w:r w:rsidR="00323A48">
        <w:t>government’s</w:t>
      </w:r>
      <w:r w:rsidR="007A4F25">
        <w:t xml:space="preserve"> business model for patient digital IAA</w:t>
      </w:r>
      <w:r>
        <w:t xml:space="preserve">, </w:t>
      </w:r>
      <w:r w:rsidR="006B0187">
        <w:t>the project</w:t>
      </w:r>
      <w:r>
        <w:t xml:space="preserve"> will be required to meet the following expectations:</w:t>
      </w:r>
    </w:p>
    <w:p w14:paraId="32A3A4AA" w14:textId="0B1CCD1E" w:rsidR="00FF12FE" w:rsidRDefault="008D0254" w:rsidP="0001024A">
      <w:pPr>
        <w:pStyle w:val="ListParagraph"/>
        <w:numPr>
          <w:ilvl w:val="0"/>
          <w:numId w:val="19"/>
        </w:numPr>
        <w:ind w:left="714" w:hanging="357"/>
        <w:contextualSpacing w:val="0"/>
      </w:pPr>
      <w:r>
        <w:rPr>
          <w:b/>
          <w:bCs/>
        </w:rPr>
        <w:t>Interoperability</w:t>
      </w:r>
      <w:r w:rsidR="0001024A" w:rsidRPr="00D016B9">
        <w:t>.</w:t>
      </w:r>
      <w:r w:rsidR="0052207D">
        <w:t xml:space="preserve"> </w:t>
      </w:r>
      <w:r w:rsidR="00D87BD9">
        <w:t>For our purposes, “interoperability” is the</w:t>
      </w:r>
      <w:r w:rsidR="00D87BD9" w:rsidRPr="00D87BD9">
        <w:t xml:space="preserve"> ability of different information systems, devices or applications to connect, in a coordinated manner, within and across organizational boundaries to access, exchange and cooperatively use data amongst stakeholders</w:t>
      </w:r>
      <w:r w:rsidR="00D87BD9">
        <w:t>.</w:t>
      </w:r>
      <w:r w:rsidR="00D87BD9">
        <w:br/>
      </w:r>
      <w:r w:rsidR="00D87BD9">
        <w:br/>
        <w:t xml:space="preserve">Accordingly, the </w:t>
      </w:r>
      <w:r w:rsidR="0001024A">
        <w:t xml:space="preserve">patient digital IAA service should </w:t>
      </w:r>
      <w:r w:rsidR="009B5A6E">
        <w:t xml:space="preserve">help to </w:t>
      </w:r>
      <w:r w:rsidR="00B347C0">
        <w:t xml:space="preserve">facilitate </w:t>
      </w:r>
      <w:r w:rsidR="0001024A">
        <w:t xml:space="preserve">digital interaction between </w:t>
      </w:r>
      <w:r w:rsidR="00FF12FE">
        <w:t xml:space="preserve">Ontarians </w:t>
      </w:r>
      <w:r w:rsidR="0001024A">
        <w:t>and their PHI</w:t>
      </w:r>
      <w:r w:rsidR="00EF4BBE">
        <w:t>,</w:t>
      </w:r>
      <w:r w:rsidR="0001024A">
        <w:t xml:space="preserve"> and their HCPs across sectors.</w:t>
      </w:r>
      <w:r w:rsidR="0052207D">
        <w:t xml:space="preserve"> </w:t>
      </w:r>
      <w:r w:rsidR="00463349">
        <w:t>Applicant</w:t>
      </w:r>
      <w:r w:rsidR="00EE7D24">
        <w:t xml:space="preserve">s should consider what attributes would </w:t>
      </w:r>
      <w:r w:rsidR="000510BA">
        <w:t xml:space="preserve">need to be bound to </w:t>
      </w:r>
      <w:r w:rsidR="00EE7D24">
        <w:t>the digital</w:t>
      </w:r>
      <w:r w:rsidR="00EE7D24" w:rsidRPr="00D016B9">
        <w:t xml:space="preserve"> identity for business purposes (e.g. tracking the patient journey/experience, eligibility)</w:t>
      </w:r>
      <w:r w:rsidR="00184476">
        <w:t>.</w:t>
      </w:r>
    </w:p>
    <w:p w14:paraId="4EBEC418" w14:textId="44A5B93C" w:rsidR="00281691" w:rsidRDefault="009B5A6E" w:rsidP="00281691">
      <w:pPr>
        <w:pStyle w:val="ListParagraph"/>
        <w:numPr>
          <w:ilvl w:val="0"/>
          <w:numId w:val="19"/>
        </w:numPr>
        <w:ind w:left="714" w:hanging="357"/>
        <w:contextualSpacing w:val="0"/>
      </w:pPr>
      <w:r>
        <w:rPr>
          <w:b/>
          <w:bCs/>
        </w:rPr>
        <w:t xml:space="preserve">Patient-Facing Digital Health </w:t>
      </w:r>
      <w:r w:rsidR="00FF12FE" w:rsidRPr="00FF12FE">
        <w:rPr>
          <w:b/>
          <w:bCs/>
        </w:rPr>
        <w:t>Application</w:t>
      </w:r>
      <w:r>
        <w:rPr>
          <w:b/>
          <w:bCs/>
        </w:rPr>
        <w:t>s</w:t>
      </w:r>
      <w:r w:rsidR="00FF12FE">
        <w:rPr>
          <w:bCs/>
        </w:rPr>
        <w:t>.</w:t>
      </w:r>
      <w:r w:rsidR="0052207D">
        <w:rPr>
          <w:bCs/>
        </w:rPr>
        <w:t xml:space="preserve"> </w:t>
      </w:r>
      <w:r w:rsidR="0001024A" w:rsidRPr="00FF12FE">
        <w:t>The</w:t>
      </w:r>
      <w:r w:rsidR="0001024A">
        <w:t xml:space="preserve"> project should </w:t>
      </w:r>
      <w:r w:rsidR="00184476">
        <w:t xml:space="preserve">demonstrate that </w:t>
      </w:r>
      <w:proofErr w:type="gramStart"/>
      <w:r w:rsidR="00184476">
        <w:t>a number of</w:t>
      </w:r>
      <w:proofErr w:type="gramEnd"/>
      <w:r w:rsidR="00184476">
        <w:t xml:space="preserve"> third</w:t>
      </w:r>
      <w:r w:rsidR="006059C9">
        <w:t>-</w:t>
      </w:r>
      <w:r w:rsidR="00184476">
        <w:t>party patient-facing digital health applications are able to integrate with the patient digital IAA service.</w:t>
      </w:r>
      <w:r w:rsidR="0052207D">
        <w:t xml:space="preserve"> </w:t>
      </w:r>
      <w:r w:rsidR="00184476">
        <w:t xml:space="preserve">These </w:t>
      </w:r>
      <w:r w:rsidR="006059C9">
        <w:t>third-party</w:t>
      </w:r>
      <w:r w:rsidR="00184476">
        <w:t xml:space="preserve"> patient-facing digital health applications should cover the range of functionality described in section 3.1.</w:t>
      </w:r>
      <w:r w:rsidR="0052207D">
        <w:t xml:space="preserve"> </w:t>
      </w:r>
      <w:r w:rsidR="00184476">
        <w:t xml:space="preserve">As such, the project should </w:t>
      </w:r>
      <w:r w:rsidR="0001024A">
        <w:t xml:space="preserve">aim to integrate </w:t>
      </w:r>
      <w:r w:rsidR="00184476">
        <w:t xml:space="preserve">the patient digital IAA service with </w:t>
      </w:r>
      <w:r w:rsidR="0001024A">
        <w:t xml:space="preserve">3-5 </w:t>
      </w:r>
      <w:r w:rsidR="00742588">
        <w:t xml:space="preserve">patient-facing digital health </w:t>
      </w:r>
      <w:r w:rsidR="005277A3">
        <w:t>applications</w:t>
      </w:r>
      <w:r w:rsidR="00184476">
        <w:t xml:space="preserve"> which themselves integrate with</w:t>
      </w:r>
      <w:r w:rsidR="0001024A">
        <w:t xml:space="preserve"> 3-5 provincial digital health assets</w:t>
      </w:r>
      <w:r w:rsidR="009516BD">
        <w:t xml:space="preserve">, </w:t>
      </w:r>
      <w:r w:rsidR="00E27737">
        <w:t>(e.g.</w:t>
      </w:r>
      <w:r w:rsidR="009516BD">
        <w:t xml:space="preserve"> the Consumer Gateway provided by eHealth Ontario</w:t>
      </w:r>
      <w:r w:rsidR="009516BD">
        <w:rPr>
          <w:rStyle w:val="FootnoteReference"/>
        </w:rPr>
        <w:footnoteReference w:id="10"/>
      </w:r>
      <w:r w:rsidR="000213B1">
        <w:t xml:space="preserve">, </w:t>
      </w:r>
      <w:r w:rsidR="00F94B04">
        <w:t xml:space="preserve">hospital information systems, </w:t>
      </w:r>
      <w:r w:rsidR="000213B1">
        <w:t>Ontario Laboratories Information System, Digital Health Drug Repository</w:t>
      </w:r>
      <w:r w:rsidR="00E27737">
        <w:t>)</w:t>
      </w:r>
      <w:r w:rsidR="0001024A">
        <w:t>.</w:t>
      </w:r>
    </w:p>
    <w:p w14:paraId="4F6A1EAB" w14:textId="42AC274E" w:rsidR="00557D4F" w:rsidRPr="00557D4F" w:rsidRDefault="00557D4F" w:rsidP="00557D4F">
      <w:pPr>
        <w:pStyle w:val="ListParagraph"/>
        <w:ind w:left="714"/>
        <w:contextualSpacing w:val="0"/>
      </w:pPr>
      <w:r w:rsidRPr="00557D4F">
        <w:rPr>
          <w:bCs/>
        </w:rPr>
        <w:t xml:space="preserve">Applications </w:t>
      </w:r>
      <w:r>
        <w:rPr>
          <w:bCs/>
        </w:rPr>
        <w:t>must include a description of the</w:t>
      </w:r>
      <w:r w:rsidRPr="00557D4F">
        <w:rPr>
          <w:bCs/>
        </w:rPr>
        <w:t xml:space="preserve"> </w:t>
      </w:r>
      <w:r w:rsidRPr="00557D4F">
        <w:t>expertise, skills, and experience of the Lead Organization and any partner organization(s), how these relate to the proposed roles and responsibilities of the Lead Organization and any partner organizations, and how the Applicants will meet the objectives and goals for the patient digital IAA service</w:t>
      </w:r>
      <w:r>
        <w:t>.</w:t>
      </w:r>
    </w:p>
    <w:p w14:paraId="42C68FE9" w14:textId="205768F5" w:rsidR="00281691" w:rsidRDefault="00557D4F" w:rsidP="00281691">
      <w:pPr>
        <w:pStyle w:val="ListParagraph"/>
        <w:ind w:left="714"/>
        <w:contextualSpacing w:val="0"/>
        <w:rPr>
          <w:bCs/>
        </w:rPr>
      </w:pPr>
      <w:r>
        <w:rPr>
          <w:bCs/>
        </w:rPr>
        <w:t xml:space="preserve">A </w:t>
      </w:r>
      <w:r w:rsidRPr="00557D4F">
        <w:rPr>
          <w:bCs/>
        </w:rPr>
        <w:t>proposed</w:t>
      </w:r>
      <w:r>
        <w:rPr>
          <w:bCs/>
        </w:rPr>
        <w:t xml:space="preserve"> project</w:t>
      </w:r>
      <w:r w:rsidRPr="00557D4F">
        <w:rPr>
          <w:bCs/>
        </w:rPr>
        <w:t xml:space="preserve"> plan</w:t>
      </w:r>
      <w:r>
        <w:rPr>
          <w:bCs/>
        </w:rPr>
        <w:t xml:space="preserve"> for meeting project goals and objectives is required.</w:t>
      </w:r>
    </w:p>
    <w:p w14:paraId="5D049D89" w14:textId="4CF9E053" w:rsidR="008D0254" w:rsidRDefault="0001024A" w:rsidP="008D0254">
      <w:pPr>
        <w:pStyle w:val="ListParagraph"/>
        <w:numPr>
          <w:ilvl w:val="0"/>
          <w:numId w:val="19"/>
        </w:numPr>
        <w:ind w:left="714" w:hanging="357"/>
        <w:contextualSpacing w:val="0"/>
      </w:pPr>
      <w:r w:rsidRPr="004070EA">
        <w:rPr>
          <w:b/>
        </w:rPr>
        <w:t>Assurance levels</w:t>
      </w:r>
      <w:r>
        <w:t>.</w:t>
      </w:r>
      <w:r w:rsidR="0052207D">
        <w:t xml:space="preserve"> </w:t>
      </w:r>
      <w:r>
        <w:t>T</w:t>
      </w:r>
      <w:r w:rsidRPr="00EF36C1">
        <w:t xml:space="preserve">he </w:t>
      </w:r>
      <w:r>
        <w:t>government</w:t>
      </w:r>
      <w:r w:rsidRPr="00EF36C1">
        <w:t xml:space="preserve"> </w:t>
      </w:r>
      <w:r w:rsidR="000A6D78">
        <w:t>requires</w:t>
      </w:r>
      <w:r w:rsidR="000A6D78" w:rsidRPr="00EF36C1">
        <w:t xml:space="preserve"> </w:t>
      </w:r>
      <w:r w:rsidRPr="00EF36C1">
        <w:t>a high level of assurance and</w:t>
      </w:r>
      <w:r w:rsidR="008D0254">
        <w:t xml:space="preserve"> multiple levels of</w:t>
      </w:r>
      <w:r w:rsidRPr="00EF36C1">
        <w:t xml:space="preserve"> trust in the digital health tools that connect to provincial</w:t>
      </w:r>
      <w:r w:rsidR="000A6D78">
        <w:t>, HCP</w:t>
      </w:r>
      <w:r w:rsidR="00854438">
        <w:t xml:space="preserve"> </w:t>
      </w:r>
      <w:r w:rsidR="00854438">
        <w:lastRenderedPageBreak/>
        <w:t xml:space="preserve">and </w:t>
      </w:r>
      <w:r w:rsidRPr="00EF36C1">
        <w:t>OHT digital health assets.</w:t>
      </w:r>
      <w:r w:rsidR="0052207D">
        <w:t xml:space="preserve"> </w:t>
      </w:r>
      <w:r w:rsidR="008D0254">
        <w:t xml:space="preserve">For </w:t>
      </w:r>
      <w:r w:rsidR="00B15D82">
        <w:t>example,</w:t>
      </w:r>
      <w:r w:rsidR="00C9616C">
        <w:t xml:space="preserve"> the government must be able to </w:t>
      </w:r>
      <w:r w:rsidR="00875C0B">
        <w:t>trust that</w:t>
      </w:r>
      <w:r w:rsidR="008D0254">
        <w:t xml:space="preserve">, </w:t>
      </w:r>
    </w:p>
    <w:p w14:paraId="7DEDB772" w14:textId="3F1123B6" w:rsidR="008D0254" w:rsidRDefault="00875C0B" w:rsidP="008D0254">
      <w:pPr>
        <w:pStyle w:val="ListParagraph"/>
        <w:numPr>
          <w:ilvl w:val="1"/>
          <w:numId w:val="19"/>
        </w:numPr>
        <w:contextualSpacing w:val="0"/>
      </w:pPr>
      <w:r>
        <w:t>The</w:t>
      </w:r>
      <w:r w:rsidR="008D0254">
        <w:t xml:space="preserve"> person is who they claim to be.</w:t>
      </w:r>
      <w:r w:rsidR="0052207D">
        <w:t xml:space="preserve"> </w:t>
      </w:r>
      <w:r w:rsidR="008D0254">
        <w:t>This is created through the process by which a digital identity is established and includes both validation and verification.</w:t>
      </w:r>
    </w:p>
    <w:p w14:paraId="3C0B6392" w14:textId="72C3CB85" w:rsidR="008D0254" w:rsidRDefault="00875C0B" w:rsidP="008D0254">
      <w:pPr>
        <w:pStyle w:val="ListParagraph"/>
        <w:numPr>
          <w:ilvl w:val="1"/>
          <w:numId w:val="19"/>
        </w:numPr>
        <w:contextualSpacing w:val="0"/>
      </w:pPr>
      <w:r>
        <w:t>The</w:t>
      </w:r>
      <w:r w:rsidR="008D0254">
        <w:t xml:space="preserve"> digital identity is under the control of the intended user (rightful owner or delegate).</w:t>
      </w:r>
    </w:p>
    <w:p w14:paraId="56D6979E" w14:textId="026C15B1" w:rsidR="008D0254" w:rsidRDefault="00875C0B" w:rsidP="008D0254">
      <w:pPr>
        <w:pStyle w:val="ListParagraph"/>
        <w:numPr>
          <w:ilvl w:val="1"/>
          <w:numId w:val="19"/>
        </w:numPr>
        <w:contextualSpacing w:val="0"/>
      </w:pPr>
      <w:r>
        <w:t xml:space="preserve">The </w:t>
      </w:r>
      <w:r w:rsidR="008D0254">
        <w:t>third</w:t>
      </w:r>
      <w:r>
        <w:t>-</w:t>
      </w:r>
      <w:r w:rsidR="008D0254">
        <w:t xml:space="preserve">party digital tools (e.g. </w:t>
      </w:r>
      <w:r w:rsidR="00885278">
        <w:t xml:space="preserve">patient-facing </w:t>
      </w:r>
      <w:r w:rsidR="008D0254">
        <w:t xml:space="preserve">digital health applications) are performing within set guidelines that protect personal and private information and adhere to </w:t>
      </w:r>
      <w:r w:rsidR="00885278">
        <w:t>government standards</w:t>
      </w:r>
      <w:r w:rsidR="008D0254">
        <w:t xml:space="preserve"> for security, privacy and data/information management.</w:t>
      </w:r>
    </w:p>
    <w:p w14:paraId="3655EFEA" w14:textId="58EE6999" w:rsidR="0001024A" w:rsidRPr="00D016B9" w:rsidRDefault="0001024A" w:rsidP="00264857">
      <w:pPr>
        <w:pStyle w:val="ListParagraph"/>
        <w:contextualSpacing w:val="0"/>
      </w:pPr>
      <w:r>
        <w:t xml:space="preserve">Accordingly, the patient digital IAA service must </w:t>
      </w:r>
      <w:r w:rsidR="00715BF3">
        <w:t>m</w:t>
      </w:r>
      <w:r w:rsidR="00715BF3" w:rsidRPr="00715BF3">
        <w:t>eet the security and privacy requirement</w:t>
      </w:r>
      <w:r w:rsidR="00715BF3">
        <w:t>s</w:t>
      </w:r>
      <w:r w:rsidR="00715BF3" w:rsidRPr="00715BF3">
        <w:t xml:space="preserve"> of the </w:t>
      </w:r>
      <w:r w:rsidR="00D57E7D">
        <w:t xml:space="preserve">ministry </w:t>
      </w:r>
      <w:r w:rsidR="00715BF3" w:rsidRPr="00715BF3">
        <w:t>and the Ontario Public Service</w:t>
      </w:r>
      <w:r w:rsidR="00715BF3">
        <w:t xml:space="preserve"> for</w:t>
      </w:r>
      <w:r w:rsidR="00715BF3" w:rsidRPr="00715BF3">
        <w:t xml:space="preserve"> </w:t>
      </w:r>
      <w:r w:rsidR="00715BF3">
        <w:t>i</w:t>
      </w:r>
      <w:r w:rsidR="00715BF3" w:rsidRPr="00715BF3">
        <w:t>dentity</w:t>
      </w:r>
      <w:r w:rsidR="00715BF3">
        <w:t>-p</w:t>
      </w:r>
      <w:r w:rsidR="00715BF3" w:rsidRPr="00715BF3">
        <w:t xml:space="preserve">roofing and </w:t>
      </w:r>
      <w:r w:rsidR="00715BF3">
        <w:t>h</w:t>
      </w:r>
      <w:r w:rsidR="00715BF3" w:rsidRPr="00715BF3">
        <w:t xml:space="preserve">igh </w:t>
      </w:r>
      <w:r w:rsidR="00715BF3">
        <w:t>s</w:t>
      </w:r>
      <w:r w:rsidR="00715BF3" w:rsidRPr="00715BF3">
        <w:t xml:space="preserve">ensitivity </w:t>
      </w:r>
      <w:proofErr w:type="gramStart"/>
      <w:r w:rsidR="00715BF3">
        <w:t>d</w:t>
      </w:r>
      <w:r w:rsidR="00715BF3" w:rsidRPr="00715BF3">
        <w:t>ata</w:t>
      </w:r>
      <w:r w:rsidR="00715BF3">
        <w:t>, and</w:t>
      </w:r>
      <w:proofErr w:type="gramEnd"/>
      <w:r w:rsidR="00715BF3">
        <w:t xml:space="preserve"> must </w:t>
      </w:r>
      <w:r>
        <w:t xml:space="preserve">comply with the </w:t>
      </w:r>
      <w:r w:rsidRPr="007F2A09">
        <w:t>Government of Ontario Information and Technology</w:t>
      </w:r>
      <w:r w:rsidR="002341D0">
        <w:t xml:space="preserve"> (GO-IT)</w:t>
      </w:r>
      <w:r w:rsidRPr="007F2A09">
        <w:t xml:space="preserve"> </w:t>
      </w:r>
      <w:r w:rsidR="002341D0">
        <w:t>s</w:t>
      </w:r>
      <w:r w:rsidR="002341D0" w:rsidRPr="007F2A09">
        <w:t>tandards</w:t>
      </w:r>
      <w:r w:rsidR="002341D0">
        <w:t xml:space="preserve"> </w:t>
      </w:r>
      <w:r w:rsidR="005A0187">
        <w:t xml:space="preserve">including the </w:t>
      </w:r>
      <w:r w:rsidR="00D81E50" w:rsidRPr="005A0187">
        <w:t>Corporate Policy on Electronic Identification, Authentication and Authorization</w:t>
      </w:r>
      <w:r w:rsidR="00D81E50" w:rsidRPr="0099436B">
        <w:t xml:space="preserve"> </w:t>
      </w:r>
      <w:r w:rsidR="00D81E50">
        <w:t xml:space="preserve">and </w:t>
      </w:r>
      <w:r w:rsidR="0099436B" w:rsidRPr="0099436B">
        <w:t>Security Requirements for Cloud Services</w:t>
      </w:r>
      <w:r w:rsidR="0099436B">
        <w:rPr>
          <w:rStyle w:val="FootnoteReference"/>
        </w:rPr>
        <w:footnoteReference w:id="11"/>
      </w:r>
      <w:r w:rsidR="002070B3">
        <w:t>, and be highly available and include disaster recovery capabilities.</w:t>
      </w:r>
    </w:p>
    <w:p w14:paraId="19E1AF77" w14:textId="3767D2A2" w:rsidR="0001024A" w:rsidRPr="00D016B9" w:rsidRDefault="0001024A" w:rsidP="0001024A">
      <w:pPr>
        <w:pStyle w:val="ListParagraph"/>
        <w:numPr>
          <w:ilvl w:val="0"/>
          <w:numId w:val="19"/>
        </w:numPr>
        <w:ind w:left="714" w:hanging="357"/>
        <w:contextualSpacing w:val="0"/>
      </w:pPr>
      <w:r w:rsidRPr="004070EA">
        <w:rPr>
          <w:b/>
          <w:bCs/>
        </w:rPr>
        <w:t>Responsibilities &amp; accountabilities</w:t>
      </w:r>
      <w:r w:rsidRPr="00D016B9">
        <w:t>.</w:t>
      </w:r>
      <w:r w:rsidR="0052207D">
        <w:t xml:space="preserve"> </w:t>
      </w:r>
      <w:r w:rsidRPr="00D016B9">
        <w:t xml:space="preserve">With the transition to OHTs and </w:t>
      </w:r>
      <w:r w:rsidR="00D57E7D">
        <w:t xml:space="preserve">possible </w:t>
      </w:r>
      <w:r w:rsidRPr="00D016B9">
        <w:t>restructuring of key agencies</w:t>
      </w:r>
      <w:r w:rsidR="0038420F">
        <w:t xml:space="preserve"> under Ontario Health</w:t>
      </w:r>
      <w:r w:rsidRPr="00D016B9">
        <w:t xml:space="preserve">, the appropriate business owners of each part of the </w:t>
      </w:r>
      <w:r>
        <w:t>patient digital IAA service must be identified</w:t>
      </w:r>
      <w:r w:rsidRPr="00D016B9">
        <w:t>, including the responsibilities and obligations of each.</w:t>
      </w:r>
    </w:p>
    <w:p w14:paraId="02151857" w14:textId="4B2365D0" w:rsidR="0001024A" w:rsidRPr="00D016B9" w:rsidRDefault="0001024A" w:rsidP="0001024A">
      <w:pPr>
        <w:pStyle w:val="ListParagraph"/>
        <w:numPr>
          <w:ilvl w:val="0"/>
          <w:numId w:val="19"/>
        </w:numPr>
        <w:ind w:left="714" w:hanging="357"/>
        <w:contextualSpacing w:val="0"/>
      </w:pPr>
      <w:r w:rsidRPr="004070EA">
        <w:rPr>
          <w:b/>
          <w:bCs/>
          <w:lang w:val="en-US"/>
        </w:rPr>
        <w:t>Timelines &amp; dependencies</w:t>
      </w:r>
      <w:r w:rsidRPr="004070EA">
        <w:rPr>
          <w:lang w:val="en-US"/>
        </w:rPr>
        <w:t>.</w:t>
      </w:r>
      <w:r w:rsidR="0052207D">
        <w:rPr>
          <w:lang w:val="en-US"/>
        </w:rPr>
        <w:t xml:space="preserve"> </w:t>
      </w:r>
      <w:r>
        <w:rPr>
          <w:lang w:val="en-US"/>
        </w:rPr>
        <w:t>The implementation approach should detail each phase of development including sequencing of activities and all relevant dependencies.</w:t>
      </w:r>
    </w:p>
    <w:p w14:paraId="6BABDC54" w14:textId="00866453" w:rsidR="0001024A" w:rsidRDefault="0001024A" w:rsidP="0001024A">
      <w:pPr>
        <w:pStyle w:val="ListParagraph"/>
        <w:numPr>
          <w:ilvl w:val="0"/>
          <w:numId w:val="19"/>
        </w:numPr>
        <w:ind w:left="714" w:hanging="357"/>
        <w:contextualSpacing w:val="0"/>
      </w:pPr>
      <w:r w:rsidRPr="00323A48">
        <w:rPr>
          <w:b/>
          <w:bCs/>
        </w:rPr>
        <w:t>Risks</w:t>
      </w:r>
      <w:r w:rsidRPr="00D016B9">
        <w:t>.</w:t>
      </w:r>
      <w:r w:rsidR="0052207D">
        <w:t xml:space="preserve"> </w:t>
      </w:r>
      <w:r w:rsidRPr="00D016B9">
        <w:t xml:space="preserve">Identification of </w:t>
      </w:r>
      <w:r w:rsidR="00FF12FE">
        <w:t xml:space="preserve">significant </w:t>
      </w:r>
      <w:r w:rsidRPr="00D016B9">
        <w:t xml:space="preserve">potential risks and </w:t>
      </w:r>
      <w:r>
        <w:t xml:space="preserve">their related </w:t>
      </w:r>
      <w:r w:rsidRPr="00D016B9">
        <w:t>mitigation</w:t>
      </w:r>
      <w:r w:rsidR="00D57E7D">
        <w:t xml:space="preserve"> </w:t>
      </w:r>
      <w:r w:rsidR="009F3BE4">
        <w:t>strategie</w:t>
      </w:r>
      <w:r w:rsidR="009F3BE4" w:rsidRPr="00D016B9">
        <w:t>s</w:t>
      </w:r>
    </w:p>
    <w:p w14:paraId="1E88F9E7" w14:textId="6A641D95" w:rsidR="00E53EAB" w:rsidRPr="00FE115F" w:rsidRDefault="00E53EAB" w:rsidP="00E53EAB">
      <w:pPr>
        <w:pStyle w:val="ListParagraph"/>
        <w:numPr>
          <w:ilvl w:val="0"/>
          <w:numId w:val="19"/>
        </w:numPr>
        <w:ind w:left="714" w:hanging="357"/>
        <w:contextualSpacing w:val="0"/>
      </w:pPr>
      <w:r w:rsidRPr="00FE115F">
        <w:rPr>
          <w:b/>
        </w:rPr>
        <w:t>Scalability</w:t>
      </w:r>
      <w:r>
        <w:t>.</w:t>
      </w:r>
      <w:r w:rsidR="0052207D">
        <w:t xml:space="preserve"> </w:t>
      </w:r>
      <w:r w:rsidR="008A545E">
        <w:t>The patient digital IAA service should be</w:t>
      </w:r>
      <w:r w:rsidR="002070B3">
        <w:t xml:space="preserve"> scalable to all of </w:t>
      </w:r>
      <w:proofErr w:type="gramStart"/>
      <w:r w:rsidR="002070B3">
        <w:t>Ontario, and</w:t>
      </w:r>
      <w:proofErr w:type="gramEnd"/>
      <w:r w:rsidR="002070B3">
        <w:t xml:space="preserve"> </w:t>
      </w:r>
      <w:r w:rsidR="00381A90">
        <w:t xml:space="preserve">designed to </w:t>
      </w:r>
      <w:r w:rsidR="00A60598">
        <w:t xml:space="preserve">eventually </w:t>
      </w:r>
      <w:r w:rsidR="00381A90">
        <w:t xml:space="preserve">be </w:t>
      </w:r>
      <w:r w:rsidR="008A545E">
        <w:t xml:space="preserve">accessible to </w:t>
      </w:r>
      <w:r w:rsidR="005608CC">
        <w:t xml:space="preserve">all </w:t>
      </w:r>
      <w:r w:rsidR="008A545E">
        <w:t>Ontarians in all regions of the province.</w:t>
      </w:r>
    </w:p>
    <w:p w14:paraId="65255AA9" w14:textId="4A035C35" w:rsidR="00E53EAB" w:rsidRDefault="00E53EAB" w:rsidP="00E53EAB">
      <w:pPr>
        <w:pStyle w:val="ListParagraph"/>
        <w:numPr>
          <w:ilvl w:val="0"/>
          <w:numId w:val="19"/>
        </w:numPr>
        <w:ind w:left="714" w:hanging="357"/>
        <w:contextualSpacing w:val="0"/>
      </w:pPr>
      <w:r w:rsidRPr="006A58E0">
        <w:rPr>
          <w:b/>
        </w:rPr>
        <w:lastRenderedPageBreak/>
        <w:t>Transferability</w:t>
      </w:r>
      <w:r>
        <w:t>.</w:t>
      </w:r>
      <w:r w:rsidR="0052207D">
        <w:t xml:space="preserve"> </w:t>
      </w:r>
      <w:r w:rsidR="008A545E">
        <w:t xml:space="preserve">The patient digital IAA service </w:t>
      </w:r>
      <w:r w:rsidR="00715BF3">
        <w:t>m</w:t>
      </w:r>
      <w:r w:rsidR="00715BF3" w:rsidRPr="00715BF3">
        <w:t xml:space="preserve">ust utilize open standards (or emerging standards where necessary) </w:t>
      </w:r>
      <w:r w:rsidR="00715BF3">
        <w:t>and</w:t>
      </w:r>
      <w:r w:rsidR="00715BF3" w:rsidRPr="00715BF3">
        <w:t xml:space="preserve"> </w:t>
      </w:r>
      <w:r w:rsidR="008A545E">
        <w:t>should be</w:t>
      </w:r>
      <w:r w:rsidR="00A60598">
        <w:t xml:space="preserve"> designed to </w:t>
      </w:r>
      <w:r w:rsidR="008A545E">
        <w:t xml:space="preserve">allow for transferring partial or complete operations </w:t>
      </w:r>
      <w:r w:rsidR="00A60598">
        <w:t xml:space="preserve">in the future </w:t>
      </w:r>
      <w:r w:rsidR="008A545E">
        <w:t>for some</w:t>
      </w:r>
      <w:r w:rsidR="00593CC1">
        <w:t xml:space="preserve"> or </w:t>
      </w:r>
      <w:proofErr w:type="gramStart"/>
      <w:r w:rsidR="008A545E">
        <w:t>all of</w:t>
      </w:r>
      <w:proofErr w:type="gramEnd"/>
      <w:r w:rsidR="008A545E">
        <w:t xml:space="preserve"> its parts to other entities (e.g. other vendors, the </w:t>
      </w:r>
      <w:r w:rsidR="005A25C1">
        <w:t xml:space="preserve">government </w:t>
      </w:r>
      <w:r w:rsidR="008A545E">
        <w:t>or its agencies).</w:t>
      </w:r>
    </w:p>
    <w:p w14:paraId="11C81EA7" w14:textId="427AAEF6" w:rsidR="00077972" w:rsidRPr="00FE115F" w:rsidRDefault="00077972" w:rsidP="00E53EAB">
      <w:pPr>
        <w:pStyle w:val="ListParagraph"/>
        <w:numPr>
          <w:ilvl w:val="0"/>
          <w:numId w:val="19"/>
        </w:numPr>
        <w:ind w:left="714" w:hanging="357"/>
        <w:contextualSpacing w:val="0"/>
      </w:pPr>
      <w:bookmarkStart w:id="18" w:name="_Hlk13124184"/>
      <w:r w:rsidRPr="0001689D">
        <w:rPr>
          <w:b/>
        </w:rPr>
        <w:t>Audit, Privacy and Security</w:t>
      </w:r>
      <w:r w:rsidRPr="00077972">
        <w:t>.</w:t>
      </w:r>
      <w:r w:rsidR="0052207D">
        <w:t xml:space="preserve"> </w:t>
      </w:r>
      <w:r w:rsidRPr="00077972">
        <w:t xml:space="preserve">The </w:t>
      </w:r>
      <w:r>
        <w:t>L</w:t>
      </w:r>
      <w:r w:rsidRPr="00077972">
        <w:t xml:space="preserve">ead </w:t>
      </w:r>
      <w:r>
        <w:t>O</w:t>
      </w:r>
      <w:r w:rsidRPr="00077972">
        <w:t xml:space="preserve">rganization is required to conform with the appropriate </w:t>
      </w:r>
      <w:r w:rsidR="00CE7744">
        <w:t>p</w:t>
      </w:r>
      <w:r w:rsidRPr="00077972">
        <w:t xml:space="preserve">rivacy and </w:t>
      </w:r>
      <w:r w:rsidR="00CE7744">
        <w:t>s</w:t>
      </w:r>
      <w:r w:rsidRPr="00077972">
        <w:t xml:space="preserve">ecurity requirements such as Privacy Impact Assessments, Threat Risk Assessment and </w:t>
      </w:r>
      <w:r>
        <w:t>audit</w:t>
      </w:r>
      <w:r w:rsidRPr="00077972">
        <w:t xml:space="preserve"> requirements </w:t>
      </w:r>
      <w:r w:rsidR="00CD70BD" w:rsidRPr="002341D0">
        <w:t xml:space="preserve">under the relevant GO-IT </w:t>
      </w:r>
      <w:proofErr w:type="gramStart"/>
      <w:r w:rsidR="00CD70BD" w:rsidRPr="002341D0">
        <w:t>standards</w:t>
      </w:r>
      <w:r w:rsidR="002341D0" w:rsidRPr="002341D0">
        <w:t>,</w:t>
      </w:r>
      <w:r w:rsidR="00CD70BD" w:rsidRPr="002341D0">
        <w:t xml:space="preserve"> </w:t>
      </w:r>
      <w:r w:rsidR="00CD70BD" w:rsidRPr="00144AFB">
        <w:t>and</w:t>
      </w:r>
      <w:proofErr w:type="gramEnd"/>
      <w:r w:rsidR="00CD70BD" w:rsidRPr="00144AFB">
        <w:t xml:space="preserve"> must carry out the project in a manner that ensures the Ministry’s compliance with its obligations </w:t>
      </w:r>
      <w:r>
        <w:t>under</w:t>
      </w:r>
      <w:r w:rsidR="00227019">
        <w:t xml:space="preserve"> the</w:t>
      </w:r>
      <w:r>
        <w:t xml:space="preserve"> </w:t>
      </w:r>
      <w:r w:rsidR="005C1558">
        <w:t>PHIPA</w:t>
      </w:r>
      <w:r w:rsidR="005C1558">
        <w:rPr>
          <w:rStyle w:val="FootnoteReference"/>
        </w:rPr>
        <w:footnoteReference w:id="12"/>
      </w:r>
      <w:r w:rsidRPr="00077972">
        <w:t>.</w:t>
      </w:r>
      <w:bookmarkEnd w:id="18"/>
    </w:p>
    <w:p w14:paraId="4FC62428" w14:textId="68E1FFBB" w:rsidR="00F33DBB" w:rsidRPr="00632642" w:rsidRDefault="00F33DBB" w:rsidP="00323A48">
      <w:pPr>
        <w:pStyle w:val="ListParagraph"/>
        <w:numPr>
          <w:ilvl w:val="0"/>
          <w:numId w:val="19"/>
        </w:numPr>
        <w:ind w:left="714" w:hanging="357"/>
        <w:contextualSpacing w:val="0"/>
      </w:pPr>
      <w:r w:rsidRPr="00323A48">
        <w:rPr>
          <w:b/>
          <w:bCs/>
        </w:rPr>
        <w:t>Recommendations</w:t>
      </w:r>
      <w:r w:rsidRPr="00323A48">
        <w:rPr>
          <w:bCs/>
        </w:rPr>
        <w:t>.</w:t>
      </w:r>
      <w:r w:rsidR="0052207D">
        <w:rPr>
          <w:bCs/>
        </w:rPr>
        <w:t xml:space="preserve"> </w:t>
      </w:r>
      <w:r w:rsidRPr="00323A48">
        <w:rPr>
          <w:bCs/>
        </w:rPr>
        <w:t xml:space="preserve">The </w:t>
      </w:r>
      <w:r w:rsidR="00584C61">
        <w:rPr>
          <w:bCs/>
        </w:rPr>
        <w:t>Lead Organization</w:t>
      </w:r>
      <w:r w:rsidRPr="00323A48">
        <w:rPr>
          <w:bCs/>
        </w:rPr>
        <w:t xml:space="preserve"> is expected to apply any learnings or insights gained over the course of the project by providing recommendations to the project steering committee on </w:t>
      </w:r>
      <w:r w:rsidR="009A4B8D">
        <w:rPr>
          <w:bCs/>
        </w:rPr>
        <w:t xml:space="preserve">potentially better or more efficient </w:t>
      </w:r>
      <w:r w:rsidRPr="00323A48">
        <w:rPr>
          <w:bCs/>
        </w:rPr>
        <w:t>ways in which to achieve the project goals.</w:t>
      </w:r>
    </w:p>
    <w:p w14:paraId="411C858C" w14:textId="77777777" w:rsidR="00632642" w:rsidRPr="00D55F7E" w:rsidRDefault="00632642" w:rsidP="00632642"/>
    <w:p w14:paraId="15E7BB4B" w14:textId="215D7315" w:rsidR="008B61EA" w:rsidRDefault="00116F84" w:rsidP="00296B74">
      <w:pPr>
        <w:pStyle w:val="Heading2"/>
      </w:pPr>
      <w:bookmarkStart w:id="19" w:name="_Toc12826529"/>
      <w:bookmarkStart w:id="20" w:name="_Toc13242968"/>
      <w:r>
        <w:t>3.5</w:t>
      </w:r>
      <w:r w:rsidR="003B7B8B">
        <w:t xml:space="preserve"> </w:t>
      </w:r>
      <w:r w:rsidR="008B61EA">
        <w:t>Governance</w:t>
      </w:r>
      <w:bookmarkEnd w:id="19"/>
      <w:bookmarkEnd w:id="20"/>
    </w:p>
    <w:p w14:paraId="324271E2" w14:textId="0165285E" w:rsidR="00D52BEB" w:rsidRDefault="008B61EA" w:rsidP="00296B74">
      <w:r>
        <w:t xml:space="preserve">The </w:t>
      </w:r>
      <w:r w:rsidR="00F777FE">
        <w:t>Lead Organization</w:t>
      </w:r>
      <w:r>
        <w:t xml:space="preserve"> will </w:t>
      </w:r>
      <w:r w:rsidR="00D34BDC">
        <w:t>establish</w:t>
      </w:r>
      <w:r>
        <w:t xml:space="preserve"> a </w:t>
      </w:r>
      <w:r w:rsidR="00D52BEB">
        <w:t xml:space="preserve">project </w:t>
      </w:r>
      <w:r>
        <w:t xml:space="preserve">steering committee </w:t>
      </w:r>
      <w:r w:rsidR="00D52BEB">
        <w:t>comprised of representatives from relevant ministries and agencies, and OHTs.</w:t>
      </w:r>
      <w:r w:rsidR="0052207D">
        <w:t xml:space="preserve"> </w:t>
      </w:r>
      <w:r w:rsidR="00D52BEB">
        <w:t>The steering committee will guide the overall implementation of the project.</w:t>
      </w:r>
      <w:r w:rsidR="0052207D">
        <w:t xml:space="preserve"> </w:t>
      </w:r>
      <w:r w:rsidR="00D52BEB">
        <w:t>Sub-committees may be formed as needed to provide additional guidance on specific work streams.</w:t>
      </w:r>
    </w:p>
    <w:p w14:paraId="0892F28B" w14:textId="6CEE1A65" w:rsidR="00467840" w:rsidRDefault="00467840" w:rsidP="00296B74">
      <w:r>
        <w:t>The technical design and architecture of the patient digital IAA service</w:t>
      </w:r>
      <w:r w:rsidR="000043AD">
        <w:t xml:space="preserve"> and its components</w:t>
      </w:r>
      <w:r>
        <w:t xml:space="preserve"> will be subject to review </w:t>
      </w:r>
      <w:r w:rsidR="00A04293">
        <w:t xml:space="preserve">and approval </w:t>
      </w:r>
      <w:r>
        <w:t>by the ministry and</w:t>
      </w:r>
      <w:r w:rsidR="00184476">
        <w:t xml:space="preserve"> / or</w:t>
      </w:r>
      <w:r>
        <w:t xml:space="preserve"> its agencies for alignment with standards for </w:t>
      </w:r>
      <w:r w:rsidR="00806775">
        <w:t xml:space="preserve">the design of </w:t>
      </w:r>
      <w:r>
        <w:t>provincial digital health assets</w:t>
      </w:r>
      <w:r w:rsidR="008461E1">
        <w:t xml:space="preserve"> and digital services</w:t>
      </w:r>
      <w:r>
        <w:t>.</w:t>
      </w:r>
    </w:p>
    <w:p w14:paraId="7C08BB03" w14:textId="77777777" w:rsidR="00632642" w:rsidRPr="008B61EA" w:rsidRDefault="00632642" w:rsidP="00296B74"/>
    <w:p w14:paraId="4194AF45" w14:textId="327FD3D3" w:rsidR="00632642" w:rsidRPr="00632642" w:rsidRDefault="00E53EAB" w:rsidP="00632642">
      <w:pPr>
        <w:pStyle w:val="Heading2"/>
        <w:numPr>
          <w:ilvl w:val="1"/>
          <w:numId w:val="29"/>
        </w:numPr>
      </w:pPr>
      <w:bookmarkStart w:id="21" w:name="_Toc12826530"/>
      <w:bookmarkStart w:id="22" w:name="_Toc13242969"/>
      <w:r>
        <w:t>Project parameters</w:t>
      </w:r>
      <w:bookmarkEnd w:id="21"/>
      <w:bookmarkEnd w:id="22"/>
    </w:p>
    <w:p w14:paraId="3E2C5F83" w14:textId="761B1182" w:rsidR="00184476" w:rsidRPr="00632642" w:rsidRDefault="0046583A" w:rsidP="004822A7">
      <w:r>
        <w:rPr>
          <w:b/>
        </w:rPr>
        <w:t>Adoption Target</w:t>
      </w:r>
      <w:r w:rsidR="0063459E">
        <w:t xml:space="preserve">. This project will establish a digital IAA service </w:t>
      </w:r>
      <w:r w:rsidR="001626E2">
        <w:t>in a single</w:t>
      </w:r>
      <w:r w:rsidR="0063459E">
        <w:t xml:space="preserve"> community</w:t>
      </w:r>
      <w:r w:rsidR="001626E2">
        <w:t xml:space="preserve"> with the capability to scale to additional communities</w:t>
      </w:r>
      <w:r w:rsidR="00FD3FEE">
        <w:t xml:space="preserve">. </w:t>
      </w:r>
      <w:r w:rsidR="001626E2">
        <w:t xml:space="preserve">Understanding that user adoption and usage may take some time, the minimum number required to provide a useful sample for evaluation purposes is </w:t>
      </w:r>
      <w:r w:rsidR="008B6CF1">
        <w:t>3</w:t>
      </w:r>
      <w:r w:rsidR="001626E2">
        <w:t>0,000 people from a community.</w:t>
      </w:r>
    </w:p>
    <w:p w14:paraId="0393E89E" w14:textId="189126BC" w:rsidR="009B2B52" w:rsidRDefault="00910607" w:rsidP="004822A7">
      <w:r w:rsidRPr="00DC5F52">
        <w:rPr>
          <w:b/>
        </w:rPr>
        <w:t>Timelines</w:t>
      </w:r>
      <w:r>
        <w:t>.</w:t>
      </w:r>
      <w:r w:rsidR="0052207D">
        <w:t xml:space="preserve"> </w:t>
      </w:r>
      <w:r w:rsidR="0050368C">
        <w:t xml:space="preserve">The table below outlines </w:t>
      </w:r>
      <w:r w:rsidR="00B3575B">
        <w:t>the various phases for this project.</w:t>
      </w:r>
      <w:r w:rsidR="0050368C">
        <w:t xml:space="preserve"> </w:t>
      </w:r>
      <w:r w:rsidR="00FD0D7A">
        <w:t xml:space="preserve">The target go-live date </w:t>
      </w:r>
      <w:r w:rsidR="00B3575B">
        <w:t xml:space="preserve">is </w:t>
      </w:r>
      <w:r w:rsidR="00FD0D7A">
        <w:t>April 1, 2020</w:t>
      </w:r>
      <w:r w:rsidR="00EF0189">
        <w:t>.</w:t>
      </w:r>
    </w:p>
    <w:tbl>
      <w:tblPr>
        <w:tblStyle w:val="TableGrid"/>
        <w:tblW w:w="5000" w:type="pct"/>
        <w:jc w:val="center"/>
        <w:tblLook w:val="04A0" w:firstRow="1" w:lastRow="0" w:firstColumn="1" w:lastColumn="0" w:noHBand="0" w:noVBand="1"/>
      </w:tblPr>
      <w:tblGrid>
        <w:gridCol w:w="2405"/>
        <w:gridCol w:w="3260"/>
        <w:gridCol w:w="2410"/>
        <w:gridCol w:w="1275"/>
      </w:tblGrid>
      <w:tr w:rsidR="001336C9" w:rsidRPr="00AC050C" w14:paraId="26296670" w14:textId="0A5D4179" w:rsidTr="00142CBB">
        <w:trPr>
          <w:jc w:val="center"/>
        </w:trPr>
        <w:tc>
          <w:tcPr>
            <w:tcW w:w="2405" w:type="dxa"/>
            <w:vAlign w:val="center"/>
          </w:tcPr>
          <w:p w14:paraId="1EE8C737" w14:textId="4F9BA6DE" w:rsidR="001336C9" w:rsidRPr="00142CBB" w:rsidRDefault="001336C9">
            <w:pPr>
              <w:rPr>
                <w:b/>
                <w:u w:val="single"/>
              </w:rPr>
            </w:pPr>
            <w:r w:rsidRPr="00142CBB">
              <w:rPr>
                <w:b/>
                <w:u w:val="single"/>
              </w:rPr>
              <w:lastRenderedPageBreak/>
              <w:t>Phase</w:t>
            </w:r>
          </w:p>
        </w:tc>
        <w:tc>
          <w:tcPr>
            <w:tcW w:w="3260" w:type="dxa"/>
            <w:vAlign w:val="center"/>
          </w:tcPr>
          <w:p w14:paraId="659F591F" w14:textId="612513F7" w:rsidR="001336C9" w:rsidRPr="00142CBB" w:rsidRDefault="001336C9">
            <w:pPr>
              <w:rPr>
                <w:b/>
                <w:u w:val="single"/>
              </w:rPr>
            </w:pPr>
            <w:r w:rsidRPr="00142CBB">
              <w:rPr>
                <w:b/>
                <w:u w:val="single"/>
              </w:rPr>
              <w:t>Description</w:t>
            </w:r>
          </w:p>
        </w:tc>
        <w:tc>
          <w:tcPr>
            <w:tcW w:w="2410" w:type="dxa"/>
            <w:vAlign w:val="center"/>
          </w:tcPr>
          <w:p w14:paraId="632F3C4E" w14:textId="2DB721FB" w:rsidR="001336C9" w:rsidRPr="00142CBB" w:rsidRDefault="001336C9">
            <w:pPr>
              <w:rPr>
                <w:b/>
                <w:u w:val="single"/>
              </w:rPr>
            </w:pPr>
            <w:r w:rsidRPr="00142CBB">
              <w:rPr>
                <w:b/>
                <w:u w:val="single"/>
              </w:rPr>
              <w:t>Date range</w:t>
            </w:r>
          </w:p>
        </w:tc>
        <w:tc>
          <w:tcPr>
            <w:tcW w:w="1275" w:type="dxa"/>
            <w:vAlign w:val="center"/>
          </w:tcPr>
          <w:p w14:paraId="36A5882A" w14:textId="6E83BB84" w:rsidR="001336C9" w:rsidRPr="00142CBB" w:rsidRDefault="001336C9">
            <w:pPr>
              <w:rPr>
                <w:b/>
                <w:u w:val="single"/>
              </w:rPr>
            </w:pPr>
            <w:r w:rsidRPr="00142CBB">
              <w:rPr>
                <w:b/>
                <w:u w:val="single"/>
              </w:rPr>
              <w:t>Duration</w:t>
            </w:r>
          </w:p>
        </w:tc>
      </w:tr>
      <w:tr w:rsidR="003E36A2" w:rsidRPr="00AC050C" w14:paraId="4F160E7B" w14:textId="0765787F" w:rsidTr="00142CBB">
        <w:trPr>
          <w:jc w:val="center"/>
        </w:trPr>
        <w:tc>
          <w:tcPr>
            <w:tcW w:w="2405" w:type="dxa"/>
            <w:vMerge w:val="restart"/>
            <w:vAlign w:val="center"/>
          </w:tcPr>
          <w:p w14:paraId="1D4B91F5" w14:textId="0849F7A5" w:rsidR="003E36A2" w:rsidRPr="00AC050C" w:rsidRDefault="003E36A2" w:rsidP="00142CBB">
            <w:pPr>
              <w:jc w:val="center"/>
            </w:pPr>
            <w:r w:rsidRPr="00AC050C">
              <w:t>Application Phase</w:t>
            </w:r>
          </w:p>
        </w:tc>
        <w:tc>
          <w:tcPr>
            <w:tcW w:w="3260" w:type="dxa"/>
            <w:vAlign w:val="center"/>
          </w:tcPr>
          <w:p w14:paraId="626A94D6" w14:textId="00E62273" w:rsidR="003E36A2" w:rsidRPr="00AC050C" w:rsidRDefault="00727848">
            <w:r>
              <w:t>Open date for a</w:t>
            </w:r>
            <w:r w:rsidRPr="00AC050C">
              <w:t xml:space="preserve">pplications </w:t>
            </w:r>
            <w:r w:rsidR="000A1578">
              <w:t>open</w:t>
            </w:r>
          </w:p>
        </w:tc>
        <w:tc>
          <w:tcPr>
            <w:tcW w:w="2410" w:type="dxa"/>
            <w:vAlign w:val="center"/>
          </w:tcPr>
          <w:p w14:paraId="772B317A" w14:textId="52AD2B67" w:rsidR="003E36A2" w:rsidRPr="00AC050C" w:rsidRDefault="003C5872">
            <w:r>
              <w:t xml:space="preserve">July </w:t>
            </w:r>
            <w:r w:rsidR="00887967">
              <w:t>9</w:t>
            </w:r>
            <w:r w:rsidR="000A1578">
              <w:t>, 2019</w:t>
            </w:r>
          </w:p>
        </w:tc>
        <w:tc>
          <w:tcPr>
            <w:tcW w:w="1275" w:type="dxa"/>
            <w:vMerge w:val="restart"/>
            <w:vAlign w:val="center"/>
          </w:tcPr>
          <w:p w14:paraId="5ACC4D51" w14:textId="14AC9D0E" w:rsidR="003E36A2" w:rsidRPr="00AC050C" w:rsidRDefault="00635DE4" w:rsidP="00142CBB">
            <w:pPr>
              <w:jc w:val="center"/>
            </w:pPr>
            <w:r>
              <w:t>4.5</w:t>
            </w:r>
            <w:r w:rsidR="003E36A2" w:rsidRPr="00AC050C">
              <w:t xml:space="preserve"> weeks</w:t>
            </w:r>
          </w:p>
        </w:tc>
      </w:tr>
      <w:tr w:rsidR="000A1578" w:rsidRPr="00AC050C" w14:paraId="387E407B" w14:textId="77777777" w:rsidTr="00142CBB">
        <w:trPr>
          <w:jc w:val="center"/>
        </w:trPr>
        <w:tc>
          <w:tcPr>
            <w:tcW w:w="2405" w:type="dxa"/>
            <w:vMerge/>
            <w:vAlign w:val="center"/>
          </w:tcPr>
          <w:p w14:paraId="34AE105C" w14:textId="77777777" w:rsidR="000A1578" w:rsidRPr="00AC050C" w:rsidRDefault="000A1578" w:rsidP="00290B36">
            <w:pPr>
              <w:jc w:val="center"/>
            </w:pPr>
          </w:p>
        </w:tc>
        <w:tc>
          <w:tcPr>
            <w:tcW w:w="3260" w:type="dxa"/>
            <w:vAlign w:val="center"/>
          </w:tcPr>
          <w:p w14:paraId="14B677E9" w14:textId="3ECDD0EC" w:rsidR="000A1578" w:rsidRPr="00AC050C" w:rsidRDefault="000A1578">
            <w:r w:rsidRPr="00AC050C">
              <w:t xml:space="preserve">Q &amp; A session with </w:t>
            </w:r>
            <w:r w:rsidR="00463349">
              <w:t>applicant</w:t>
            </w:r>
            <w:r w:rsidRPr="00AC050C">
              <w:t>s</w:t>
            </w:r>
          </w:p>
        </w:tc>
        <w:tc>
          <w:tcPr>
            <w:tcW w:w="2410" w:type="dxa"/>
            <w:vAlign w:val="center"/>
          </w:tcPr>
          <w:p w14:paraId="3722DAFF" w14:textId="26F29F41" w:rsidR="000A1578" w:rsidRPr="00AC050C" w:rsidRDefault="000A1578">
            <w:r w:rsidRPr="00AC050C">
              <w:t xml:space="preserve">July </w:t>
            </w:r>
            <w:r>
              <w:t>22</w:t>
            </w:r>
            <w:r w:rsidRPr="00AC050C">
              <w:t xml:space="preserve"> – </w:t>
            </w:r>
            <w:r>
              <w:t>26</w:t>
            </w:r>
            <w:r w:rsidRPr="00AC050C">
              <w:t>, 2019</w:t>
            </w:r>
          </w:p>
        </w:tc>
        <w:tc>
          <w:tcPr>
            <w:tcW w:w="1275" w:type="dxa"/>
            <w:vMerge/>
            <w:vAlign w:val="center"/>
          </w:tcPr>
          <w:p w14:paraId="4F3828B3" w14:textId="77777777" w:rsidR="000A1578" w:rsidRPr="00AC050C" w:rsidRDefault="000A1578" w:rsidP="00290B36">
            <w:pPr>
              <w:jc w:val="center"/>
            </w:pPr>
          </w:p>
        </w:tc>
      </w:tr>
      <w:tr w:rsidR="003E36A2" w:rsidRPr="00AC050C" w14:paraId="075E693E" w14:textId="6ABF0A91" w:rsidTr="00142CBB">
        <w:trPr>
          <w:jc w:val="center"/>
        </w:trPr>
        <w:tc>
          <w:tcPr>
            <w:tcW w:w="2405" w:type="dxa"/>
            <w:vMerge/>
            <w:vAlign w:val="center"/>
          </w:tcPr>
          <w:p w14:paraId="78B8D5B2" w14:textId="2D7524B6" w:rsidR="003E36A2" w:rsidRPr="00AC050C" w:rsidRDefault="003E36A2" w:rsidP="00290B36">
            <w:pPr>
              <w:jc w:val="center"/>
            </w:pPr>
          </w:p>
        </w:tc>
        <w:tc>
          <w:tcPr>
            <w:tcW w:w="3260" w:type="dxa"/>
            <w:vAlign w:val="center"/>
          </w:tcPr>
          <w:p w14:paraId="65EB1129" w14:textId="7D9EAA93" w:rsidR="003E36A2" w:rsidRPr="00AC050C" w:rsidRDefault="000A1578">
            <w:r>
              <w:t>Closing date for applications</w:t>
            </w:r>
          </w:p>
        </w:tc>
        <w:tc>
          <w:tcPr>
            <w:tcW w:w="2410" w:type="dxa"/>
            <w:vAlign w:val="center"/>
          </w:tcPr>
          <w:p w14:paraId="05FE49B5" w14:textId="06E4C4FC" w:rsidR="003E36A2" w:rsidRPr="00AC050C" w:rsidRDefault="000A1578">
            <w:r>
              <w:t xml:space="preserve">August </w:t>
            </w:r>
            <w:r w:rsidR="00673686">
              <w:t>9</w:t>
            </w:r>
            <w:r w:rsidRPr="00AC050C">
              <w:t>, 2019</w:t>
            </w:r>
            <w:r>
              <w:t xml:space="preserve"> at 12:00 pm </w:t>
            </w:r>
            <w:r w:rsidR="00EF7ABC">
              <w:t>EST</w:t>
            </w:r>
          </w:p>
        </w:tc>
        <w:tc>
          <w:tcPr>
            <w:tcW w:w="1275" w:type="dxa"/>
            <w:vMerge/>
            <w:vAlign w:val="center"/>
          </w:tcPr>
          <w:p w14:paraId="3E055D54" w14:textId="77777777" w:rsidR="003E36A2" w:rsidRPr="00AC050C" w:rsidRDefault="003E36A2" w:rsidP="00290B36">
            <w:pPr>
              <w:jc w:val="center"/>
            </w:pPr>
          </w:p>
        </w:tc>
      </w:tr>
      <w:tr w:rsidR="001336C9" w:rsidRPr="00AC050C" w14:paraId="601F4E0C" w14:textId="6EDA34A2" w:rsidTr="00142CBB">
        <w:trPr>
          <w:jc w:val="center"/>
        </w:trPr>
        <w:tc>
          <w:tcPr>
            <w:tcW w:w="2405" w:type="dxa"/>
            <w:vAlign w:val="center"/>
          </w:tcPr>
          <w:p w14:paraId="1C365396" w14:textId="2FEA8111" w:rsidR="001336C9" w:rsidRPr="00AC050C" w:rsidRDefault="001336C9" w:rsidP="00142CBB">
            <w:pPr>
              <w:jc w:val="center"/>
            </w:pPr>
            <w:r w:rsidRPr="00AC050C">
              <w:t>Assessment Phase</w:t>
            </w:r>
          </w:p>
        </w:tc>
        <w:tc>
          <w:tcPr>
            <w:tcW w:w="3260" w:type="dxa"/>
            <w:vAlign w:val="center"/>
          </w:tcPr>
          <w:p w14:paraId="3057C54A" w14:textId="5793645A" w:rsidR="0098092D" w:rsidRDefault="001336C9">
            <w:r w:rsidRPr="00AC050C">
              <w:t>Applications are internally reviewed.</w:t>
            </w:r>
          </w:p>
          <w:p w14:paraId="07626C21" w14:textId="753D4B0D" w:rsidR="0098092D" w:rsidRPr="00AC050C" w:rsidRDefault="0098092D">
            <w:r>
              <w:t xml:space="preserve">Selected </w:t>
            </w:r>
            <w:r w:rsidR="00463349">
              <w:t>Applicant</w:t>
            </w:r>
            <w:r>
              <w:t>s may be contacted for follow-up meetings.</w:t>
            </w:r>
          </w:p>
        </w:tc>
        <w:tc>
          <w:tcPr>
            <w:tcW w:w="2410" w:type="dxa"/>
            <w:vAlign w:val="center"/>
          </w:tcPr>
          <w:p w14:paraId="6B315F3B" w14:textId="28CDE629" w:rsidR="001336C9" w:rsidRPr="00AC050C" w:rsidRDefault="001336C9">
            <w:r w:rsidRPr="00AC050C">
              <w:t xml:space="preserve">August </w:t>
            </w:r>
            <w:r w:rsidR="00673686">
              <w:t>12</w:t>
            </w:r>
            <w:r w:rsidR="00673686" w:rsidRPr="00AC050C">
              <w:t xml:space="preserve"> </w:t>
            </w:r>
            <w:r w:rsidRPr="00AC050C">
              <w:t xml:space="preserve">– </w:t>
            </w:r>
            <w:r w:rsidR="0098092D">
              <w:t xml:space="preserve">October </w:t>
            </w:r>
            <w:r w:rsidR="00673686">
              <w:t>18</w:t>
            </w:r>
            <w:r w:rsidRPr="00AC050C">
              <w:t>, 2019</w:t>
            </w:r>
          </w:p>
        </w:tc>
        <w:tc>
          <w:tcPr>
            <w:tcW w:w="1275" w:type="dxa"/>
            <w:vAlign w:val="center"/>
          </w:tcPr>
          <w:p w14:paraId="442211E1" w14:textId="2B878153" w:rsidR="001336C9" w:rsidRPr="00AC050C" w:rsidRDefault="0098092D" w:rsidP="00142CBB">
            <w:pPr>
              <w:jc w:val="center"/>
            </w:pPr>
            <w:r>
              <w:t>10</w:t>
            </w:r>
            <w:r w:rsidR="001336C9" w:rsidRPr="00AC050C">
              <w:t xml:space="preserve"> weeks</w:t>
            </w:r>
          </w:p>
        </w:tc>
      </w:tr>
      <w:tr w:rsidR="0053296D" w:rsidRPr="00AC050C" w14:paraId="4272C7E4" w14:textId="77777777" w:rsidTr="007C44F6">
        <w:trPr>
          <w:jc w:val="center"/>
        </w:trPr>
        <w:tc>
          <w:tcPr>
            <w:tcW w:w="5665" w:type="dxa"/>
            <w:gridSpan w:val="2"/>
            <w:vAlign w:val="center"/>
          </w:tcPr>
          <w:p w14:paraId="22B24668" w14:textId="413FCD49" w:rsidR="0053296D" w:rsidRDefault="0053296D" w:rsidP="007C44F6">
            <w:pPr>
              <w:jc w:val="center"/>
            </w:pPr>
            <w:r w:rsidRPr="00142CBB">
              <w:rPr>
                <w:b/>
              </w:rPr>
              <w:t>Project Start Date</w:t>
            </w:r>
          </w:p>
        </w:tc>
        <w:tc>
          <w:tcPr>
            <w:tcW w:w="3685" w:type="dxa"/>
            <w:gridSpan w:val="2"/>
            <w:vAlign w:val="center"/>
          </w:tcPr>
          <w:p w14:paraId="3F809221" w14:textId="6F1428A0" w:rsidR="0053296D" w:rsidRPr="00AC050C" w:rsidRDefault="001D0B5B" w:rsidP="0053296D">
            <w:pPr>
              <w:jc w:val="center"/>
            </w:pPr>
            <w:r>
              <w:rPr>
                <w:b/>
              </w:rPr>
              <w:t>October</w:t>
            </w:r>
            <w:r w:rsidR="0053296D" w:rsidRPr="00142CBB">
              <w:rPr>
                <w:b/>
              </w:rPr>
              <w:t xml:space="preserve"> </w:t>
            </w:r>
            <w:r w:rsidR="00673686">
              <w:rPr>
                <w:b/>
              </w:rPr>
              <w:t>21</w:t>
            </w:r>
            <w:r w:rsidR="0053296D" w:rsidRPr="00142CBB">
              <w:rPr>
                <w:b/>
              </w:rPr>
              <w:t>, 2019</w:t>
            </w:r>
          </w:p>
        </w:tc>
      </w:tr>
      <w:tr w:rsidR="0053296D" w:rsidRPr="00AC050C" w14:paraId="05FE7B20" w14:textId="1B2228A3" w:rsidTr="00142CBB">
        <w:trPr>
          <w:jc w:val="center"/>
        </w:trPr>
        <w:tc>
          <w:tcPr>
            <w:tcW w:w="2405" w:type="dxa"/>
            <w:vAlign w:val="center"/>
          </w:tcPr>
          <w:p w14:paraId="4F03DCFC" w14:textId="69B2B752" w:rsidR="0053296D" w:rsidRPr="00AC050C" w:rsidRDefault="0053296D" w:rsidP="0053296D">
            <w:pPr>
              <w:jc w:val="center"/>
            </w:pPr>
            <w:r>
              <w:t>Detailed</w:t>
            </w:r>
            <w:r w:rsidRPr="00AC050C">
              <w:t xml:space="preserve"> Planning Phase</w:t>
            </w:r>
          </w:p>
        </w:tc>
        <w:tc>
          <w:tcPr>
            <w:tcW w:w="3260" w:type="dxa"/>
            <w:vAlign w:val="center"/>
          </w:tcPr>
          <w:p w14:paraId="47078AC7" w14:textId="046193BD" w:rsidR="0053296D" w:rsidRPr="00AC050C" w:rsidRDefault="0053296D" w:rsidP="0053296D">
            <w:r>
              <w:t>The Lead Organization develops the project charter and other project planning documents with input from the ministry.</w:t>
            </w:r>
          </w:p>
        </w:tc>
        <w:tc>
          <w:tcPr>
            <w:tcW w:w="2410" w:type="dxa"/>
            <w:vAlign w:val="center"/>
          </w:tcPr>
          <w:p w14:paraId="624180FE" w14:textId="5153B24A" w:rsidR="0053296D" w:rsidRPr="00AC050C" w:rsidRDefault="0053296D" w:rsidP="0053296D">
            <w:r w:rsidRPr="00AC050C">
              <w:t xml:space="preserve">October </w:t>
            </w:r>
            <w:r w:rsidR="00673686">
              <w:t>21</w:t>
            </w:r>
            <w:r w:rsidR="00673686" w:rsidRPr="00AC050C">
              <w:t xml:space="preserve"> </w:t>
            </w:r>
            <w:r w:rsidRPr="00AC050C">
              <w:t xml:space="preserve">– November </w:t>
            </w:r>
            <w:r w:rsidR="00673686">
              <w:t>15</w:t>
            </w:r>
            <w:r w:rsidRPr="00AC050C">
              <w:t>, 2019</w:t>
            </w:r>
          </w:p>
        </w:tc>
        <w:tc>
          <w:tcPr>
            <w:tcW w:w="1275" w:type="dxa"/>
            <w:vAlign w:val="center"/>
          </w:tcPr>
          <w:p w14:paraId="087DBB5A" w14:textId="765CAB40" w:rsidR="0053296D" w:rsidRPr="00AC050C" w:rsidRDefault="0053296D" w:rsidP="0053296D">
            <w:pPr>
              <w:jc w:val="center"/>
            </w:pPr>
            <w:r w:rsidRPr="00AC050C">
              <w:t>4 weeks</w:t>
            </w:r>
          </w:p>
        </w:tc>
      </w:tr>
      <w:tr w:rsidR="0053296D" w:rsidRPr="00AC050C" w14:paraId="1C77600D" w14:textId="3788D18C" w:rsidTr="00142CBB">
        <w:trPr>
          <w:jc w:val="center"/>
        </w:trPr>
        <w:tc>
          <w:tcPr>
            <w:tcW w:w="2405" w:type="dxa"/>
            <w:vAlign w:val="center"/>
          </w:tcPr>
          <w:p w14:paraId="05D411A5" w14:textId="497AAAF4" w:rsidR="0053296D" w:rsidRPr="00AC050C" w:rsidRDefault="0053296D" w:rsidP="0053296D">
            <w:pPr>
              <w:jc w:val="center"/>
            </w:pPr>
            <w:r w:rsidRPr="00AC050C">
              <w:t>Implementation Phase</w:t>
            </w:r>
          </w:p>
        </w:tc>
        <w:tc>
          <w:tcPr>
            <w:tcW w:w="3260" w:type="dxa"/>
            <w:vAlign w:val="center"/>
          </w:tcPr>
          <w:p w14:paraId="33B589DC" w14:textId="2FC1FE11" w:rsidR="0053296D" w:rsidRPr="00AC050C" w:rsidRDefault="0053296D" w:rsidP="0053296D">
            <w:r>
              <w:t>The Lead Organization commences work on project deliverables</w:t>
            </w:r>
          </w:p>
        </w:tc>
        <w:tc>
          <w:tcPr>
            <w:tcW w:w="2410" w:type="dxa"/>
            <w:vAlign w:val="center"/>
          </w:tcPr>
          <w:p w14:paraId="5676891F" w14:textId="55E999A5" w:rsidR="0053296D" w:rsidRPr="00AC050C" w:rsidRDefault="0053296D" w:rsidP="0053296D">
            <w:r w:rsidRPr="00AC050C">
              <w:t xml:space="preserve">November </w:t>
            </w:r>
            <w:r w:rsidR="00673686">
              <w:t>18</w:t>
            </w:r>
            <w:r w:rsidRPr="00AC050C">
              <w:t xml:space="preserve">, 2019 – </w:t>
            </w:r>
            <w:r w:rsidR="00673686">
              <w:t>April 7</w:t>
            </w:r>
            <w:r w:rsidRPr="00AC050C">
              <w:t>, 2021</w:t>
            </w:r>
          </w:p>
        </w:tc>
        <w:tc>
          <w:tcPr>
            <w:tcW w:w="1275" w:type="dxa"/>
            <w:vAlign w:val="center"/>
          </w:tcPr>
          <w:p w14:paraId="16DBB916" w14:textId="4CA31995" w:rsidR="0053296D" w:rsidRPr="00AC050C" w:rsidRDefault="001D0B5B" w:rsidP="0053296D">
            <w:pPr>
              <w:jc w:val="center"/>
            </w:pPr>
            <w:r>
              <w:t>20</w:t>
            </w:r>
            <w:r w:rsidR="0053296D" w:rsidRPr="00AC050C">
              <w:t xml:space="preserve"> weeks</w:t>
            </w:r>
          </w:p>
        </w:tc>
      </w:tr>
      <w:tr w:rsidR="0053296D" w:rsidRPr="00AC050C" w14:paraId="39201406" w14:textId="77777777" w:rsidTr="00142CBB">
        <w:trPr>
          <w:jc w:val="center"/>
        </w:trPr>
        <w:tc>
          <w:tcPr>
            <w:tcW w:w="5665" w:type="dxa"/>
            <w:gridSpan w:val="2"/>
            <w:vAlign w:val="center"/>
          </w:tcPr>
          <w:p w14:paraId="666445A1" w14:textId="31EBFBBB" w:rsidR="0053296D" w:rsidRPr="00142CBB" w:rsidRDefault="0053296D" w:rsidP="0053296D">
            <w:pPr>
              <w:jc w:val="center"/>
              <w:rPr>
                <w:b/>
              </w:rPr>
            </w:pPr>
            <w:r w:rsidRPr="00142CBB">
              <w:rPr>
                <w:b/>
              </w:rPr>
              <w:t>Patient Digital IAA service go-live</w:t>
            </w:r>
          </w:p>
        </w:tc>
        <w:tc>
          <w:tcPr>
            <w:tcW w:w="3685" w:type="dxa"/>
            <w:gridSpan w:val="2"/>
            <w:vAlign w:val="center"/>
          </w:tcPr>
          <w:p w14:paraId="5DF5C8AA" w14:textId="3A612F63" w:rsidR="0053296D" w:rsidRPr="00142CBB" w:rsidRDefault="0053296D" w:rsidP="0053296D">
            <w:pPr>
              <w:jc w:val="center"/>
              <w:rPr>
                <w:b/>
              </w:rPr>
            </w:pPr>
            <w:r w:rsidRPr="00142CBB">
              <w:rPr>
                <w:b/>
              </w:rPr>
              <w:t xml:space="preserve">April </w:t>
            </w:r>
            <w:r w:rsidR="00673686">
              <w:rPr>
                <w:b/>
              </w:rPr>
              <w:t>8</w:t>
            </w:r>
            <w:r w:rsidRPr="00142CBB">
              <w:rPr>
                <w:b/>
              </w:rPr>
              <w:t>, 2020</w:t>
            </w:r>
          </w:p>
        </w:tc>
      </w:tr>
      <w:tr w:rsidR="0053296D" w:rsidRPr="00AC050C" w14:paraId="35AEC8BD" w14:textId="06583093" w:rsidTr="00142CBB">
        <w:trPr>
          <w:jc w:val="center"/>
        </w:trPr>
        <w:tc>
          <w:tcPr>
            <w:tcW w:w="2405" w:type="dxa"/>
            <w:vAlign w:val="center"/>
          </w:tcPr>
          <w:p w14:paraId="43A2CA59" w14:textId="43D49D99" w:rsidR="0053296D" w:rsidRPr="00AC050C" w:rsidRDefault="0053296D" w:rsidP="0053296D">
            <w:pPr>
              <w:jc w:val="center"/>
            </w:pPr>
            <w:r w:rsidRPr="00AC050C">
              <w:t>Operations Phase 1</w:t>
            </w:r>
          </w:p>
        </w:tc>
        <w:tc>
          <w:tcPr>
            <w:tcW w:w="3260" w:type="dxa"/>
            <w:vAlign w:val="center"/>
          </w:tcPr>
          <w:p w14:paraId="57399ADD" w14:textId="77968DF2" w:rsidR="0053296D" w:rsidRPr="00AC050C" w:rsidRDefault="0053296D" w:rsidP="0053296D">
            <w:r>
              <w:t>The patient digital IAA service is launched and run in the target communities.</w:t>
            </w:r>
          </w:p>
        </w:tc>
        <w:tc>
          <w:tcPr>
            <w:tcW w:w="2410" w:type="dxa"/>
            <w:vAlign w:val="center"/>
          </w:tcPr>
          <w:p w14:paraId="57F6E4A7" w14:textId="032946C7" w:rsidR="0053296D" w:rsidRPr="00AC050C" w:rsidRDefault="0053296D" w:rsidP="0053296D">
            <w:r w:rsidRPr="00AC050C">
              <w:t xml:space="preserve">April </w:t>
            </w:r>
            <w:r w:rsidR="00673686">
              <w:t>8</w:t>
            </w:r>
            <w:r w:rsidRPr="00AC050C">
              <w:t>, 2020 – March 31, 2021</w:t>
            </w:r>
          </w:p>
        </w:tc>
        <w:tc>
          <w:tcPr>
            <w:tcW w:w="1275" w:type="dxa"/>
            <w:vMerge w:val="restart"/>
            <w:vAlign w:val="center"/>
          </w:tcPr>
          <w:p w14:paraId="004C37FF" w14:textId="6285DF21" w:rsidR="0053296D" w:rsidRPr="00AC050C" w:rsidRDefault="0053296D" w:rsidP="0053296D">
            <w:pPr>
              <w:jc w:val="center"/>
            </w:pPr>
            <w:r w:rsidRPr="00AC050C">
              <w:t>1 year</w:t>
            </w:r>
          </w:p>
        </w:tc>
      </w:tr>
      <w:tr w:rsidR="0053296D" w:rsidRPr="00AC050C" w14:paraId="586017E1" w14:textId="070CD4C8" w:rsidTr="00142CBB">
        <w:trPr>
          <w:jc w:val="center"/>
        </w:trPr>
        <w:tc>
          <w:tcPr>
            <w:tcW w:w="2405" w:type="dxa"/>
            <w:vMerge w:val="restart"/>
            <w:vAlign w:val="center"/>
          </w:tcPr>
          <w:p w14:paraId="4C799423" w14:textId="27A1FFF7" w:rsidR="0053296D" w:rsidRPr="00AC050C" w:rsidRDefault="0053296D" w:rsidP="0053296D">
            <w:pPr>
              <w:jc w:val="center"/>
            </w:pPr>
            <w:r w:rsidRPr="00AC050C">
              <w:t>Evaluation</w:t>
            </w:r>
            <w:r>
              <w:t xml:space="preserve"> Phase</w:t>
            </w:r>
          </w:p>
        </w:tc>
        <w:tc>
          <w:tcPr>
            <w:tcW w:w="3260" w:type="dxa"/>
            <w:vMerge w:val="restart"/>
            <w:vAlign w:val="center"/>
          </w:tcPr>
          <w:p w14:paraId="3D6BCF05" w14:textId="41B2DF20" w:rsidR="0053296D" w:rsidRPr="00AC050C" w:rsidRDefault="0053296D" w:rsidP="0053296D">
            <w:r>
              <w:t>The CDHE will conduct a</w:t>
            </w:r>
            <w:r w:rsidR="00411D69">
              <w:t xml:space="preserve">n </w:t>
            </w:r>
            <w:r>
              <w:t>evaluation of the project over Operations Phase 1.</w:t>
            </w:r>
          </w:p>
        </w:tc>
        <w:tc>
          <w:tcPr>
            <w:tcW w:w="2410" w:type="dxa"/>
            <w:vAlign w:val="center"/>
          </w:tcPr>
          <w:p w14:paraId="6F34D1C3" w14:textId="66EB5120" w:rsidR="0053296D" w:rsidRPr="00AC050C" w:rsidRDefault="0053296D" w:rsidP="0053296D">
            <w:r>
              <w:t xml:space="preserve">Interim report due: </w:t>
            </w:r>
            <w:r w:rsidRPr="00AC050C">
              <w:t>October 2020</w:t>
            </w:r>
          </w:p>
        </w:tc>
        <w:tc>
          <w:tcPr>
            <w:tcW w:w="1275" w:type="dxa"/>
            <w:vMerge/>
            <w:vAlign w:val="center"/>
          </w:tcPr>
          <w:p w14:paraId="124BB768" w14:textId="77777777" w:rsidR="0053296D" w:rsidRPr="00AC050C" w:rsidRDefault="0053296D" w:rsidP="00290B36">
            <w:pPr>
              <w:jc w:val="center"/>
            </w:pPr>
          </w:p>
        </w:tc>
      </w:tr>
      <w:tr w:rsidR="0053296D" w:rsidRPr="00AC050C" w14:paraId="2EFE4CC0" w14:textId="7DC7BBDA" w:rsidTr="00142CBB">
        <w:trPr>
          <w:jc w:val="center"/>
        </w:trPr>
        <w:tc>
          <w:tcPr>
            <w:tcW w:w="2405" w:type="dxa"/>
            <w:vMerge/>
            <w:vAlign w:val="center"/>
          </w:tcPr>
          <w:p w14:paraId="502C070C" w14:textId="48153702" w:rsidR="0053296D" w:rsidRPr="00AC050C" w:rsidRDefault="0053296D" w:rsidP="00290B36">
            <w:pPr>
              <w:jc w:val="center"/>
            </w:pPr>
          </w:p>
        </w:tc>
        <w:tc>
          <w:tcPr>
            <w:tcW w:w="3260" w:type="dxa"/>
            <w:vMerge/>
            <w:vAlign w:val="center"/>
          </w:tcPr>
          <w:p w14:paraId="4417382B" w14:textId="77777777" w:rsidR="0053296D" w:rsidRPr="00AC050C" w:rsidRDefault="0053296D" w:rsidP="0053296D"/>
        </w:tc>
        <w:tc>
          <w:tcPr>
            <w:tcW w:w="2410" w:type="dxa"/>
            <w:vAlign w:val="center"/>
          </w:tcPr>
          <w:p w14:paraId="49D2972C" w14:textId="660ADE01" w:rsidR="0053296D" w:rsidRPr="00AC050C" w:rsidRDefault="0053296D" w:rsidP="0053296D">
            <w:r>
              <w:t xml:space="preserve">Final report due: </w:t>
            </w:r>
            <w:r w:rsidRPr="00AC050C">
              <w:t>March 2021</w:t>
            </w:r>
          </w:p>
        </w:tc>
        <w:tc>
          <w:tcPr>
            <w:tcW w:w="1275" w:type="dxa"/>
            <w:vMerge/>
            <w:vAlign w:val="center"/>
          </w:tcPr>
          <w:p w14:paraId="727E9C28" w14:textId="77777777" w:rsidR="0053296D" w:rsidRPr="00AC050C" w:rsidRDefault="0053296D" w:rsidP="00290B36">
            <w:pPr>
              <w:jc w:val="center"/>
            </w:pPr>
          </w:p>
        </w:tc>
      </w:tr>
      <w:tr w:rsidR="0053296D" w:rsidRPr="00AC050C" w14:paraId="063F9ED6" w14:textId="77777777" w:rsidTr="00142CBB">
        <w:trPr>
          <w:jc w:val="center"/>
        </w:trPr>
        <w:tc>
          <w:tcPr>
            <w:tcW w:w="2405" w:type="dxa"/>
            <w:vAlign w:val="center"/>
          </w:tcPr>
          <w:p w14:paraId="18B4BA2E" w14:textId="587602F1" w:rsidR="0053296D" w:rsidRPr="00AC050C" w:rsidRDefault="0053296D" w:rsidP="0053296D">
            <w:pPr>
              <w:jc w:val="center"/>
            </w:pPr>
            <w:r w:rsidRPr="00AC050C">
              <w:t>Operations Phase 2</w:t>
            </w:r>
          </w:p>
        </w:tc>
        <w:tc>
          <w:tcPr>
            <w:tcW w:w="3260" w:type="dxa"/>
            <w:vAlign w:val="center"/>
          </w:tcPr>
          <w:p w14:paraId="6857302E" w14:textId="4CD10924" w:rsidR="0053296D" w:rsidRPr="00AC050C" w:rsidRDefault="0053296D" w:rsidP="0053296D">
            <w:r>
              <w:t>The patient digital IAA service is run for an additional year to “keep the lights on” and inform government decisions and direction for scaling to other communities in the province.</w:t>
            </w:r>
          </w:p>
        </w:tc>
        <w:tc>
          <w:tcPr>
            <w:tcW w:w="2410" w:type="dxa"/>
            <w:vAlign w:val="center"/>
          </w:tcPr>
          <w:p w14:paraId="73E03AC3" w14:textId="4767C269" w:rsidR="0053296D" w:rsidRPr="00AC050C" w:rsidRDefault="0053296D" w:rsidP="0053296D">
            <w:r w:rsidRPr="00AC050C">
              <w:t>April 1, 2021 – March 31, 2022</w:t>
            </w:r>
          </w:p>
        </w:tc>
        <w:tc>
          <w:tcPr>
            <w:tcW w:w="1275" w:type="dxa"/>
            <w:vAlign w:val="center"/>
          </w:tcPr>
          <w:p w14:paraId="7C3B33D0" w14:textId="7472621B" w:rsidR="0053296D" w:rsidRPr="00AC050C" w:rsidRDefault="0053296D" w:rsidP="0053296D">
            <w:pPr>
              <w:jc w:val="center"/>
            </w:pPr>
            <w:r w:rsidRPr="00AC050C">
              <w:t>1 year</w:t>
            </w:r>
          </w:p>
        </w:tc>
      </w:tr>
    </w:tbl>
    <w:p w14:paraId="1A966803" w14:textId="77777777" w:rsidR="004A462D" w:rsidRDefault="004A462D" w:rsidP="004822A7"/>
    <w:p w14:paraId="083077D5" w14:textId="6DD2898E" w:rsidR="00910607" w:rsidRDefault="009B2B52" w:rsidP="004822A7">
      <w:r w:rsidRPr="00296B74">
        <w:rPr>
          <w:b/>
        </w:rPr>
        <w:t>Reporting</w:t>
      </w:r>
      <w:r>
        <w:t>.</w:t>
      </w:r>
      <w:r w:rsidR="0052207D">
        <w:t xml:space="preserve"> </w:t>
      </w:r>
      <w:r w:rsidR="00414ABB">
        <w:t xml:space="preserve">The </w:t>
      </w:r>
      <w:r w:rsidR="00CD70BD">
        <w:t>selected Lead Organization</w:t>
      </w:r>
      <w:r w:rsidR="00414ABB">
        <w:t xml:space="preserve"> </w:t>
      </w:r>
      <w:r w:rsidR="00CD70BD">
        <w:t xml:space="preserve">shall </w:t>
      </w:r>
      <w:r w:rsidR="00414ABB">
        <w:t xml:space="preserve">submit </w:t>
      </w:r>
      <w:r w:rsidR="00CD70BD">
        <w:t>to the ministry</w:t>
      </w:r>
      <w:r w:rsidR="00727848">
        <w:t>,</w:t>
      </w:r>
      <w:r w:rsidR="00414ABB">
        <w:t xml:space="preserve"> project status reports every two weeks and attend monthly meetings with the project steering committee to discuss issues and provide updates.</w:t>
      </w:r>
    </w:p>
    <w:p w14:paraId="67DAC2D4" w14:textId="03A69C5D" w:rsidR="00923B2D" w:rsidRDefault="00923B2D" w:rsidP="00547EE9">
      <w:r w:rsidRPr="00DC5F52">
        <w:rPr>
          <w:b/>
        </w:rPr>
        <w:t>Evaluation</w:t>
      </w:r>
      <w:r>
        <w:t>.</w:t>
      </w:r>
      <w:r w:rsidR="0052207D">
        <w:t xml:space="preserve"> </w:t>
      </w:r>
      <w:r w:rsidR="00B034C4" w:rsidRPr="00B034C4">
        <w:t xml:space="preserve">The </w:t>
      </w:r>
      <w:r w:rsidR="00CD70BD">
        <w:t>selected Lead Organization</w:t>
      </w:r>
      <w:r w:rsidR="00B034C4" w:rsidRPr="00B034C4">
        <w:t xml:space="preserve"> will work with the CDHE to conduct an evaluation of the </w:t>
      </w:r>
      <w:r w:rsidR="00CD70BD">
        <w:t>project</w:t>
      </w:r>
      <w:r w:rsidR="00B034C4" w:rsidRPr="00B034C4">
        <w:t>.</w:t>
      </w:r>
      <w:r w:rsidR="0052207D">
        <w:t xml:space="preserve"> </w:t>
      </w:r>
      <w:r w:rsidR="00CD70BD">
        <w:t>The Lead organization shall submit to the ministry a</w:t>
      </w:r>
      <w:r w:rsidR="00B034C4" w:rsidRPr="00B034C4">
        <w:t xml:space="preserve">n interim </w:t>
      </w:r>
      <w:r w:rsidR="00CD70BD">
        <w:t xml:space="preserve">evaluation </w:t>
      </w:r>
      <w:r w:rsidR="00B034C4" w:rsidRPr="00B034C4">
        <w:t xml:space="preserve">report in October 2020 and </w:t>
      </w:r>
      <w:r w:rsidR="00CD70BD">
        <w:t xml:space="preserve">a </w:t>
      </w:r>
      <w:r w:rsidR="00B034C4" w:rsidRPr="00B034C4">
        <w:t xml:space="preserve">final </w:t>
      </w:r>
      <w:r w:rsidR="00CD70BD">
        <w:t xml:space="preserve">evaluation </w:t>
      </w:r>
      <w:r w:rsidR="00B034C4" w:rsidRPr="00B034C4">
        <w:t>report in March 2021.</w:t>
      </w:r>
      <w:r w:rsidR="0052207D">
        <w:t xml:space="preserve"> </w:t>
      </w:r>
    </w:p>
    <w:p w14:paraId="604C6AC6" w14:textId="77BB5BCB" w:rsidR="00910607" w:rsidRDefault="00910607" w:rsidP="004822A7">
      <w:r w:rsidRPr="0057401A">
        <w:rPr>
          <w:b/>
        </w:rPr>
        <w:lastRenderedPageBreak/>
        <w:t>Alignment with corporate policies</w:t>
      </w:r>
      <w:r>
        <w:t xml:space="preserve">. </w:t>
      </w:r>
      <w:r w:rsidR="00CD70BD">
        <w:t>In implementing the project, t</w:t>
      </w:r>
      <w:r w:rsidR="0057401A">
        <w:t xml:space="preserve">he </w:t>
      </w:r>
      <w:r w:rsidR="00CD70BD">
        <w:t xml:space="preserve">selected Lead Organization shall comply </w:t>
      </w:r>
      <w:r w:rsidR="0057401A">
        <w:t xml:space="preserve">with relevant </w:t>
      </w:r>
      <w:r w:rsidR="00FE2688" w:rsidRPr="00FE2688">
        <w:t>Government of Ontario Information and Technology Standards</w:t>
      </w:r>
      <w:r w:rsidR="00FE2688">
        <w:t xml:space="preserve"> and policies</w:t>
      </w:r>
      <w:r w:rsidR="0057401A">
        <w:t xml:space="preserve"> for connecting to pr</w:t>
      </w:r>
      <w:r w:rsidR="002E1757">
        <w:t>ovincial digital health assets</w:t>
      </w:r>
      <w:r w:rsidR="00C77773">
        <w:t>, and the Ontario Digital Service’s Digital Service Standard</w:t>
      </w:r>
      <w:r w:rsidR="00C77773">
        <w:rPr>
          <w:rStyle w:val="FootnoteReference"/>
        </w:rPr>
        <w:footnoteReference w:id="13"/>
      </w:r>
      <w:r w:rsidR="002E1757">
        <w:t>.</w:t>
      </w:r>
    </w:p>
    <w:p w14:paraId="16AEE5F0" w14:textId="0E00F2E8" w:rsidR="00515A47" w:rsidRDefault="00116F84" w:rsidP="00296B74">
      <w:pPr>
        <w:pStyle w:val="Heading2"/>
      </w:pPr>
      <w:bookmarkStart w:id="23" w:name="_Toc12826531"/>
      <w:bookmarkStart w:id="24" w:name="_Toc13242970"/>
      <w:r>
        <w:t>3.7</w:t>
      </w:r>
      <w:r w:rsidR="003B7B8B">
        <w:t xml:space="preserve"> </w:t>
      </w:r>
      <w:r w:rsidR="00515A47">
        <w:t>Out of Scope</w:t>
      </w:r>
      <w:bookmarkEnd w:id="23"/>
      <w:bookmarkEnd w:id="24"/>
    </w:p>
    <w:p w14:paraId="7C8AFCC7" w14:textId="062EF164" w:rsidR="00923B2D" w:rsidRPr="00B443EA" w:rsidRDefault="00B443EA" w:rsidP="00923B2D">
      <w:r>
        <w:t xml:space="preserve">The following </w:t>
      </w:r>
      <w:r w:rsidR="00923B2D">
        <w:t xml:space="preserve">items and </w:t>
      </w:r>
      <w:r>
        <w:t>areas of work are out of scope for this project:</w:t>
      </w:r>
    </w:p>
    <w:p w14:paraId="2E365728" w14:textId="189B9EF8" w:rsidR="00D905F7" w:rsidRPr="00375923" w:rsidRDefault="0081762C" w:rsidP="00D905F7">
      <w:pPr>
        <w:pStyle w:val="ListParagraph"/>
        <w:numPr>
          <w:ilvl w:val="0"/>
          <w:numId w:val="21"/>
        </w:numPr>
      </w:pPr>
      <w:r>
        <w:t>Products or services</w:t>
      </w:r>
      <w:r w:rsidRPr="00375923">
        <w:t xml:space="preserve"> </w:t>
      </w:r>
      <w:r w:rsidR="00D905F7" w:rsidRPr="00375923">
        <w:t>that</w:t>
      </w:r>
      <w:r w:rsidR="008E589C" w:rsidRPr="00375923">
        <w:t xml:space="preserve"> by design, are not </w:t>
      </w:r>
      <w:r w:rsidR="001F5AB2" w:rsidRPr="00375923">
        <w:t>intended to</w:t>
      </w:r>
      <w:r w:rsidR="00D905F7" w:rsidRPr="00375923">
        <w:t xml:space="preserve"> </w:t>
      </w:r>
      <w:r w:rsidR="001F5AB2" w:rsidRPr="00375923">
        <w:t>fulfill</w:t>
      </w:r>
      <w:r w:rsidR="00D905F7" w:rsidRPr="00375923">
        <w:t xml:space="preserve"> any</w:t>
      </w:r>
      <w:r>
        <w:t xml:space="preserve"> part</w:t>
      </w:r>
      <w:r w:rsidR="00D905F7" w:rsidRPr="00375923">
        <w:t xml:space="preserve"> of the </w:t>
      </w:r>
      <w:r w:rsidR="005A25C1">
        <w:t>government’s</w:t>
      </w:r>
      <w:r w:rsidR="005A25C1" w:rsidRPr="00375923">
        <w:t xml:space="preserve"> </w:t>
      </w:r>
      <w:r w:rsidR="005F35D7" w:rsidRPr="00375923">
        <w:t xml:space="preserve">objectives or </w:t>
      </w:r>
      <w:r w:rsidR="00D905F7" w:rsidRPr="00375923">
        <w:t>requirements for patient digital IAA.</w:t>
      </w:r>
    </w:p>
    <w:p w14:paraId="7D1E2580" w14:textId="252E5BEC" w:rsidR="005F35D7" w:rsidRPr="00375923" w:rsidRDefault="0081762C" w:rsidP="00D905F7">
      <w:pPr>
        <w:pStyle w:val="ListParagraph"/>
        <w:numPr>
          <w:ilvl w:val="0"/>
          <w:numId w:val="21"/>
        </w:numPr>
      </w:pPr>
      <w:r>
        <w:t>Products or services</w:t>
      </w:r>
      <w:r w:rsidRPr="00375923">
        <w:t xml:space="preserve"> </w:t>
      </w:r>
      <w:r w:rsidR="005F35D7" w:rsidRPr="00375923">
        <w:t xml:space="preserve">that are bundled with </w:t>
      </w:r>
      <w:r>
        <w:t xml:space="preserve">other </w:t>
      </w:r>
      <w:r w:rsidR="005F35D7" w:rsidRPr="00375923">
        <w:t xml:space="preserve">products or services that are not specifically designed to meet the </w:t>
      </w:r>
      <w:r w:rsidR="005A25C1">
        <w:t>government’s</w:t>
      </w:r>
      <w:r w:rsidR="005A25C1" w:rsidRPr="00375923">
        <w:t xml:space="preserve"> </w:t>
      </w:r>
      <w:r w:rsidR="005F35D7" w:rsidRPr="00375923">
        <w:t>objectives or requirements for patient digital IAA.</w:t>
      </w:r>
    </w:p>
    <w:p w14:paraId="731E9390" w14:textId="586E68B2" w:rsidR="00515A47" w:rsidRPr="00375923" w:rsidRDefault="00F21639" w:rsidP="00923B2D">
      <w:pPr>
        <w:pStyle w:val="ListParagraph"/>
        <w:numPr>
          <w:ilvl w:val="0"/>
          <w:numId w:val="21"/>
        </w:numPr>
      </w:pPr>
      <w:r>
        <w:t>P</w:t>
      </w:r>
      <w:r w:rsidR="0081762C">
        <w:t>roducts or services</w:t>
      </w:r>
      <w:r w:rsidR="0081762C" w:rsidRPr="00375923">
        <w:t xml:space="preserve"> </w:t>
      </w:r>
      <w:r w:rsidR="007B57EC" w:rsidRPr="00375923">
        <w:t xml:space="preserve">that are based on proprietary technology </w:t>
      </w:r>
      <w:r w:rsidR="00DB7922" w:rsidRPr="00375923">
        <w:t xml:space="preserve">(i.e. not based on open standards) </w:t>
      </w:r>
      <w:r w:rsidR="007B57EC" w:rsidRPr="00375923">
        <w:t xml:space="preserve">that restricts options for seeking technical support or changing components of the </w:t>
      </w:r>
      <w:r w:rsidR="0081762C">
        <w:t>patient digital IAA service</w:t>
      </w:r>
      <w:r w:rsidR="0081762C" w:rsidRPr="00375923">
        <w:t xml:space="preserve"> </w:t>
      </w:r>
      <w:r w:rsidR="007B57EC" w:rsidRPr="00375923">
        <w:t>in the future.</w:t>
      </w:r>
    </w:p>
    <w:p w14:paraId="3AED6935" w14:textId="1D6F30D6" w:rsidR="00B3458F" w:rsidRPr="00375923" w:rsidRDefault="0081762C" w:rsidP="009258D4">
      <w:pPr>
        <w:pStyle w:val="ListParagraph"/>
        <w:numPr>
          <w:ilvl w:val="0"/>
          <w:numId w:val="21"/>
        </w:numPr>
      </w:pPr>
      <w:r>
        <w:t>Products or services</w:t>
      </w:r>
      <w:r w:rsidRPr="00375923">
        <w:t xml:space="preserve"> </w:t>
      </w:r>
      <w:r w:rsidR="00B3458F" w:rsidRPr="00375923">
        <w:t>that require consideration for alternate healthcare funding models</w:t>
      </w:r>
      <w:r w:rsidR="001B3D62" w:rsidRPr="00375923">
        <w:t xml:space="preserve"> (e.g. </w:t>
      </w:r>
      <w:r w:rsidR="00A86A45" w:rsidRPr="00375923">
        <w:t xml:space="preserve">products or services that require </w:t>
      </w:r>
      <w:r w:rsidR="00A83549" w:rsidRPr="00375923">
        <w:t xml:space="preserve">payment from </w:t>
      </w:r>
      <w:r w:rsidR="00A86A45" w:rsidRPr="00375923">
        <w:t>patients</w:t>
      </w:r>
      <w:r w:rsidR="001B3D62" w:rsidRPr="00375923">
        <w:t>)</w:t>
      </w:r>
      <w:r w:rsidR="00B3458F" w:rsidRPr="00375923">
        <w:t>.</w:t>
      </w:r>
    </w:p>
    <w:p w14:paraId="520E8201" w14:textId="557365BA" w:rsidR="00FE0DA9" w:rsidRDefault="00116F84" w:rsidP="007C58CC">
      <w:pPr>
        <w:pStyle w:val="Heading2"/>
      </w:pPr>
      <w:bookmarkStart w:id="25" w:name="_Toc12826532"/>
      <w:bookmarkStart w:id="26" w:name="_Toc13242971"/>
      <w:r>
        <w:t>3.8</w:t>
      </w:r>
      <w:r w:rsidR="003B7B8B" w:rsidRPr="00296B74">
        <w:t xml:space="preserve"> </w:t>
      </w:r>
      <w:r w:rsidR="00FE0DA9" w:rsidRPr="003B7B8B">
        <w:t>F</w:t>
      </w:r>
      <w:r w:rsidR="00FE0DA9">
        <w:t>unding</w:t>
      </w:r>
      <w:bookmarkEnd w:id="25"/>
      <w:bookmarkEnd w:id="26"/>
      <w:r w:rsidR="00FE0DA9">
        <w:t xml:space="preserve"> </w:t>
      </w:r>
    </w:p>
    <w:p w14:paraId="119E34D0" w14:textId="2BB60638" w:rsidR="00FE0DA9" w:rsidRDefault="008914F4" w:rsidP="00D17AC2">
      <w:r w:rsidRPr="008914F4">
        <w:t xml:space="preserve">Limited funding may be available to </w:t>
      </w:r>
      <w:r w:rsidR="005F718B">
        <w:t>support the chosen project(s)</w:t>
      </w:r>
      <w:r w:rsidR="00EB3D08">
        <w:t xml:space="preserve"> in 2019/20 and 2020/21</w:t>
      </w:r>
      <w:r w:rsidR="005F718B">
        <w:t>.</w:t>
      </w:r>
      <w:r w:rsidR="0052207D">
        <w:t xml:space="preserve"> </w:t>
      </w:r>
      <w:r w:rsidR="0011091F">
        <w:t xml:space="preserve">As part of their applications, </w:t>
      </w:r>
      <w:r w:rsidR="00463349">
        <w:t>Applicant</w:t>
      </w:r>
      <w:r w:rsidRPr="008914F4">
        <w:t xml:space="preserve">s </w:t>
      </w:r>
      <w:r w:rsidR="0011091F">
        <w:t xml:space="preserve">must </w:t>
      </w:r>
      <w:r w:rsidRPr="008914F4">
        <w:t>include a budget</w:t>
      </w:r>
      <w:r>
        <w:t xml:space="preserve"> </w:t>
      </w:r>
      <w:r w:rsidR="000E0A88">
        <w:t xml:space="preserve">and sustainability proposal </w:t>
      </w:r>
      <w:r>
        <w:t>with rationale and assumptions.</w:t>
      </w:r>
    </w:p>
    <w:p w14:paraId="7D5CB7DF" w14:textId="77777777" w:rsidR="00FE0DA9" w:rsidRDefault="00FE0DA9" w:rsidP="00296B74">
      <w:pPr>
        <w:pStyle w:val="Heading1"/>
        <w:numPr>
          <w:ilvl w:val="0"/>
          <w:numId w:val="29"/>
        </w:numPr>
      </w:pPr>
      <w:bookmarkStart w:id="27" w:name="_Toc12826533"/>
      <w:bookmarkStart w:id="28" w:name="_Toc13242972"/>
      <w:r>
        <w:t>Application Requirements and Evaluation Criteria</w:t>
      </w:r>
      <w:bookmarkEnd w:id="27"/>
      <w:bookmarkEnd w:id="28"/>
      <w:r>
        <w:t xml:space="preserve"> </w:t>
      </w:r>
    </w:p>
    <w:p w14:paraId="6906DB92" w14:textId="45866DB2" w:rsidR="00FE0DA9" w:rsidRDefault="00463349" w:rsidP="00D17AC2">
      <w:r>
        <w:t>Applicant</w:t>
      </w:r>
      <w:r w:rsidR="00F5760D">
        <w:t xml:space="preserve">s are requested to submit </w:t>
      </w:r>
      <w:r w:rsidR="00F21639">
        <w:t>applications</w:t>
      </w:r>
      <w:r w:rsidR="00D81E50">
        <w:t xml:space="preserve"> on their own electronic letterhead</w:t>
      </w:r>
      <w:r w:rsidR="00F21639">
        <w:t xml:space="preserve"> </w:t>
      </w:r>
      <w:r w:rsidR="00F5760D">
        <w:t xml:space="preserve">that address each element under </w:t>
      </w:r>
      <w:r w:rsidR="00D81E50">
        <w:t>section</w:t>
      </w:r>
      <w:r w:rsidR="009B5A6E">
        <w:t xml:space="preserve"> 3</w:t>
      </w:r>
      <w:r w:rsidR="00F5760D">
        <w:t>.</w:t>
      </w:r>
      <w:r w:rsidR="0052207D">
        <w:t xml:space="preserve"> </w:t>
      </w:r>
      <w:r>
        <w:t>Applicant</w:t>
      </w:r>
      <w:r w:rsidR="00A04016">
        <w:t xml:space="preserve">s will be </w:t>
      </w:r>
      <w:r w:rsidR="00336826">
        <w:t>evaluated in accordance with the following:</w:t>
      </w:r>
      <w:r w:rsidR="00FE0DA9">
        <w:t xml:space="preserve"> </w:t>
      </w:r>
    </w:p>
    <w:p w14:paraId="47227017" w14:textId="47127A4B" w:rsidR="00FE0DA9" w:rsidRDefault="00116F84" w:rsidP="00D17AC2">
      <w:pPr>
        <w:pStyle w:val="Heading2"/>
      </w:pPr>
      <w:bookmarkStart w:id="29" w:name="_Toc12826534"/>
      <w:bookmarkStart w:id="30" w:name="_Toc13242973"/>
      <w:r>
        <w:t>4</w:t>
      </w:r>
      <w:r w:rsidR="003B7B8B">
        <w:t xml:space="preserve">.1 </w:t>
      </w:r>
      <w:r w:rsidR="00FE0DA9">
        <w:t>Qualifications (</w:t>
      </w:r>
      <w:r w:rsidR="00830C84">
        <w:t>5</w:t>
      </w:r>
      <w:r w:rsidR="00FE0DA9">
        <w:t>0%)</w:t>
      </w:r>
      <w:bookmarkEnd w:id="29"/>
      <w:bookmarkEnd w:id="30"/>
      <w:r w:rsidR="00FE0DA9">
        <w:t xml:space="preserve"> </w:t>
      </w:r>
    </w:p>
    <w:p w14:paraId="0F330C75" w14:textId="231B869F" w:rsidR="00FE0DA9" w:rsidRDefault="00FE0DA9" w:rsidP="00D17AC2">
      <w:pPr>
        <w:pStyle w:val="ListParagraph"/>
        <w:numPr>
          <w:ilvl w:val="0"/>
          <w:numId w:val="4"/>
        </w:numPr>
      </w:pPr>
      <w:r>
        <w:t xml:space="preserve">List </w:t>
      </w:r>
      <w:r w:rsidR="00BD0167">
        <w:t xml:space="preserve">Lead Organization </w:t>
      </w:r>
      <w:r>
        <w:t xml:space="preserve">and any partner organization(s) and their contact information. </w:t>
      </w:r>
    </w:p>
    <w:p w14:paraId="34719FC6" w14:textId="39CD92FA" w:rsidR="00FE0DA9" w:rsidRDefault="00FE0DA9" w:rsidP="00D17AC2">
      <w:pPr>
        <w:pStyle w:val="ListParagraph"/>
        <w:numPr>
          <w:ilvl w:val="0"/>
          <w:numId w:val="4"/>
        </w:numPr>
      </w:pPr>
      <w:r>
        <w:t>Provide sign</w:t>
      </w:r>
      <w:r w:rsidR="00C31EEB">
        <w:t>-</w:t>
      </w:r>
      <w:r>
        <w:t xml:space="preserve">off by most senior executives with signing authority for the </w:t>
      </w:r>
      <w:r w:rsidR="00A66D74">
        <w:t>Lead Organization</w:t>
      </w:r>
      <w:r>
        <w:t xml:space="preserve"> and all </w:t>
      </w:r>
      <w:r w:rsidR="00FC195F">
        <w:t xml:space="preserve">other </w:t>
      </w:r>
      <w:r>
        <w:t>organizations</w:t>
      </w:r>
      <w:r w:rsidR="00FC195F">
        <w:t xml:space="preserve"> on the project team</w:t>
      </w:r>
      <w:r>
        <w:t xml:space="preserve">. </w:t>
      </w:r>
    </w:p>
    <w:p w14:paraId="060B3C69" w14:textId="664366DA" w:rsidR="00FE0DA9" w:rsidRDefault="00FE0DA9" w:rsidP="00D17AC2">
      <w:pPr>
        <w:pStyle w:val="ListParagraph"/>
        <w:numPr>
          <w:ilvl w:val="0"/>
          <w:numId w:val="4"/>
        </w:numPr>
      </w:pPr>
      <w:r>
        <w:t xml:space="preserve">Describe </w:t>
      </w:r>
      <w:bookmarkStart w:id="31" w:name="_Hlk13242766"/>
      <w:r>
        <w:t xml:space="preserve">expertise, skills, and experience of </w:t>
      </w:r>
      <w:r w:rsidR="00BD0167">
        <w:t xml:space="preserve">the Lead Organization </w:t>
      </w:r>
      <w:r>
        <w:t>and any partner organization</w:t>
      </w:r>
      <w:r w:rsidR="00BD0167">
        <w:t>(</w:t>
      </w:r>
      <w:r>
        <w:t>s</w:t>
      </w:r>
      <w:r w:rsidR="00BD0167">
        <w:t>)</w:t>
      </w:r>
      <w:r>
        <w:t xml:space="preserve">, how these relate to the </w:t>
      </w:r>
      <w:r w:rsidR="000A427F">
        <w:t xml:space="preserve">proposed </w:t>
      </w:r>
      <w:r>
        <w:t xml:space="preserve">roles and </w:t>
      </w:r>
      <w:r>
        <w:lastRenderedPageBreak/>
        <w:t>responsibil</w:t>
      </w:r>
      <w:r w:rsidR="00D17AC2">
        <w:t xml:space="preserve">ities of </w:t>
      </w:r>
      <w:r w:rsidR="000A427F">
        <w:t>the L</w:t>
      </w:r>
      <w:r w:rsidR="00D17AC2">
        <w:t xml:space="preserve">ead </w:t>
      </w:r>
      <w:r w:rsidR="000A427F">
        <w:t>Organization</w:t>
      </w:r>
      <w:r w:rsidR="00D17AC2">
        <w:t xml:space="preserve"> and any </w:t>
      </w:r>
      <w:r>
        <w:t>partner organizations, and how the</w:t>
      </w:r>
      <w:r w:rsidR="000A427F">
        <w:t xml:space="preserve"> Applicants</w:t>
      </w:r>
      <w:r>
        <w:t xml:space="preserve"> will meet the objectives and goals </w:t>
      </w:r>
      <w:r w:rsidR="0090595B">
        <w:t xml:space="preserve">for the patient digital IAA </w:t>
      </w:r>
      <w:r w:rsidR="0081762C">
        <w:t>service</w:t>
      </w:r>
      <w:bookmarkEnd w:id="31"/>
      <w:r>
        <w:t xml:space="preserve">. </w:t>
      </w:r>
    </w:p>
    <w:p w14:paraId="78193493" w14:textId="6E56E4E6" w:rsidR="00FE0DA9" w:rsidRDefault="00FE0DA9" w:rsidP="00D17AC2">
      <w:pPr>
        <w:pStyle w:val="ListParagraph"/>
        <w:numPr>
          <w:ilvl w:val="0"/>
          <w:numId w:val="4"/>
        </w:numPr>
      </w:pPr>
      <w:r>
        <w:t xml:space="preserve">Describe any </w:t>
      </w:r>
      <w:r w:rsidR="00490CE5">
        <w:t xml:space="preserve">relevant </w:t>
      </w:r>
      <w:r>
        <w:t xml:space="preserve">experience(s) of </w:t>
      </w:r>
      <w:r w:rsidR="000A427F">
        <w:t>the Lead Organization</w:t>
      </w:r>
      <w:r>
        <w:t xml:space="preserve"> and / or any partner organization(s) </w:t>
      </w:r>
      <w:proofErr w:type="gramStart"/>
      <w:r>
        <w:t>collaborating together</w:t>
      </w:r>
      <w:proofErr w:type="gramEnd"/>
      <w:r>
        <w:t xml:space="preserve"> in the past and the outcomes achieved. </w:t>
      </w:r>
    </w:p>
    <w:p w14:paraId="40F4558A" w14:textId="08EDE898" w:rsidR="00C978EA" w:rsidRDefault="00E915EF" w:rsidP="00D55F7E">
      <w:pPr>
        <w:pStyle w:val="ListParagraph"/>
        <w:numPr>
          <w:ilvl w:val="0"/>
          <w:numId w:val="4"/>
        </w:numPr>
      </w:pPr>
      <w:r>
        <w:t>Describe the competitive or comparative advantages over other options available in the market.</w:t>
      </w:r>
    </w:p>
    <w:p w14:paraId="01B7EA6F" w14:textId="00A35B23" w:rsidR="00BD0167" w:rsidRDefault="00BD0167" w:rsidP="00BD0167">
      <w:pPr>
        <w:pStyle w:val="ListParagraph"/>
        <w:numPr>
          <w:ilvl w:val="0"/>
          <w:numId w:val="4"/>
        </w:numPr>
      </w:pPr>
      <w:r>
        <w:t>Describe the requirements of non-</w:t>
      </w:r>
      <w:r w:rsidR="00BE25AC">
        <w:t xml:space="preserve">applicant </w:t>
      </w:r>
      <w:r>
        <w:t xml:space="preserve">organizations that may be required to make changes to support </w:t>
      </w:r>
      <w:r w:rsidR="00BE25AC">
        <w:t>the project</w:t>
      </w:r>
      <w:r>
        <w:t>.</w:t>
      </w:r>
      <w:r w:rsidR="0052207D">
        <w:t xml:space="preserve"> </w:t>
      </w:r>
      <w:r w:rsidR="00C46362">
        <w:t>For example</w:t>
      </w:r>
      <w:r>
        <w:t xml:space="preserve">, if </w:t>
      </w:r>
      <w:r w:rsidR="00BE25AC">
        <w:t xml:space="preserve">the project </w:t>
      </w:r>
      <w:r>
        <w:t>require</w:t>
      </w:r>
      <w:r w:rsidR="00BE25AC">
        <w:t>s</w:t>
      </w:r>
      <w:r>
        <w:t xml:space="preserve"> access to</w:t>
      </w:r>
      <w:r w:rsidR="00C46362">
        <w:t xml:space="preserve"> provincial repositories via</w:t>
      </w:r>
      <w:r>
        <w:t xml:space="preserve"> </w:t>
      </w:r>
      <w:r w:rsidR="00C46362">
        <w:t>the</w:t>
      </w:r>
      <w:r>
        <w:t xml:space="preserve"> Consumer </w:t>
      </w:r>
      <w:r w:rsidR="00C46362">
        <w:t>G</w:t>
      </w:r>
      <w:r>
        <w:t xml:space="preserve">ateway, </w:t>
      </w:r>
      <w:r w:rsidR="00793E33">
        <w:t>eHealth Ontario</w:t>
      </w:r>
      <w:r>
        <w:t xml:space="preserve"> </w:t>
      </w:r>
      <w:r w:rsidR="00C46362">
        <w:t>would need</w:t>
      </w:r>
      <w:r>
        <w:t xml:space="preserve"> to know what is required.</w:t>
      </w:r>
    </w:p>
    <w:p w14:paraId="2A00B6A2" w14:textId="6E6F6315" w:rsidR="00BD0167" w:rsidRDefault="00BD0167" w:rsidP="00BD0167">
      <w:pPr>
        <w:pStyle w:val="ListParagraph"/>
        <w:numPr>
          <w:ilvl w:val="0"/>
          <w:numId w:val="4"/>
        </w:numPr>
      </w:pPr>
      <w:r>
        <w:t xml:space="preserve">Describe </w:t>
      </w:r>
      <w:r w:rsidR="00BA6122">
        <w:t xml:space="preserve">approaches to any procurements required to </w:t>
      </w:r>
      <w:r w:rsidR="00BE25AC">
        <w:t xml:space="preserve">carry out the </w:t>
      </w:r>
      <w:r w:rsidR="00BA6122">
        <w:t>project and how the Lead Organization</w:t>
      </w:r>
      <w:r>
        <w:t xml:space="preserve"> will ensure </w:t>
      </w:r>
      <w:r w:rsidR="00BA6122">
        <w:t>these procurements can be applied at scale across Ontario’s health system</w:t>
      </w:r>
      <w:r>
        <w:t>.</w:t>
      </w:r>
    </w:p>
    <w:p w14:paraId="5B6EDDFD" w14:textId="2AEA7467" w:rsidR="00FE0DA9" w:rsidRDefault="00116F84" w:rsidP="00D17AC2">
      <w:pPr>
        <w:pStyle w:val="Heading2"/>
      </w:pPr>
      <w:bookmarkStart w:id="32" w:name="_Toc12826535"/>
      <w:bookmarkStart w:id="33" w:name="_Toc13242974"/>
      <w:r>
        <w:t>4</w:t>
      </w:r>
      <w:r w:rsidR="003B7B8B">
        <w:t xml:space="preserve">.2 </w:t>
      </w:r>
      <w:r w:rsidR="00FE0DA9">
        <w:t>Approach (50%)</w:t>
      </w:r>
      <w:bookmarkEnd w:id="32"/>
      <w:bookmarkEnd w:id="33"/>
      <w:r w:rsidR="00FE0DA9">
        <w:t xml:space="preserve"> </w:t>
      </w:r>
    </w:p>
    <w:p w14:paraId="47472AB8" w14:textId="7047AE41" w:rsidR="00D17AC2" w:rsidRDefault="00FE0DA9" w:rsidP="00D17AC2">
      <w:pPr>
        <w:pStyle w:val="ListParagraph"/>
        <w:numPr>
          <w:ilvl w:val="0"/>
          <w:numId w:val="5"/>
        </w:numPr>
      </w:pPr>
      <w:r>
        <w:t xml:space="preserve">Describe proposed approach and evidence of feasibility (e.g. through past work) to </w:t>
      </w:r>
      <w:r w:rsidR="00E014D7">
        <w:t>achieve</w:t>
      </w:r>
      <w:r>
        <w:t xml:space="preserve"> </w:t>
      </w:r>
      <w:r w:rsidR="00873ABC">
        <w:t xml:space="preserve">the project goals and </w:t>
      </w:r>
      <w:r>
        <w:t xml:space="preserve">each of the </w:t>
      </w:r>
      <w:r w:rsidR="00E014D7">
        <w:t xml:space="preserve">four </w:t>
      </w:r>
      <w:r>
        <w:t xml:space="preserve">objectives </w:t>
      </w:r>
      <w:r w:rsidR="00FD6FCC">
        <w:t>for patient digital IAA</w:t>
      </w:r>
      <w:r w:rsidR="00D17AC2">
        <w:t>, including:</w:t>
      </w:r>
    </w:p>
    <w:p w14:paraId="06349DCD" w14:textId="72D3D75B" w:rsidR="00BB02A1" w:rsidRDefault="00BB02A1" w:rsidP="00876E17">
      <w:pPr>
        <w:pStyle w:val="ListParagraph"/>
        <w:numPr>
          <w:ilvl w:val="1"/>
          <w:numId w:val="5"/>
        </w:numPr>
      </w:pPr>
      <w:r>
        <w:t xml:space="preserve">Assembling </w:t>
      </w:r>
      <w:r w:rsidR="003F461C">
        <w:t>an i</w:t>
      </w:r>
      <w:r w:rsidR="003F461C" w:rsidRPr="003F461C">
        <w:t>nterdisciplinary and collaborative project team</w:t>
      </w:r>
      <w:r w:rsidR="003F461C">
        <w:t xml:space="preserve"> comprised of </w:t>
      </w:r>
      <w:r w:rsidR="006849E7">
        <w:t>Technology and Other Participants</w:t>
      </w:r>
      <w:r w:rsidR="00F30281">
        <w:t xml:space="preserve"> representing different sectors</w:t>
      </w:r>
      <w:r w:rsidR="003F461C" w:rsidRPr="003F461C">
        <w:t xml:space="preserve"> </w:t>
      </w:r>
      <w:r w:rsidRPr="00BB02A1">
        <w:t>(e.g. hospital, primary care, community care) who have a shared objective for achieving integrated care in their communities</w:t>
      </w:r>
      <w:r w:rsidR="003F461C">
        <w:t>.</w:t>
      </w:r>
    </w:p>
    <w:p w14:paraId="3395A7F7" w14:textId="0E87AE41" w:rsidR="00876E17" w:rsidRDefault="00BC2818" w:rsidP="00876E17">
      <w:pPr>
        <w:pStyle w:val="ListParagraph"/>
        <w:numPr>
          <w:ilvl w:val="1"/>
          <w:numId w:val="5"/>
        </w:numPr>
      </w:pPr>
      <w:r>
        <w:t>I</w:t>
      </w:r>
      <w:r w:rsidR="00876E17">
        <w:t xml:space="preserve">dentifying the </w:t>
      </w:r>
      <w:r w:rsidR="00A30055">
        <w:t xml:space="preserve">business </w:t>
      </w:r>
      <w:r w:rsidR="00876E17">
        <w:t xml:space="preserve">requirements under each </w:t>
      </w:r>
      <w:r w:rsidR="00A30055">
        <w:t>project objective</w:t>
      </w:r>
      <w:r w:rsidR="00876E17">
        <w:t>.</w:t>
      </w:r>
    </w:p>
    <w:p w14:paraId="03D9B233" w14:textId="27BB689A" w:rsidR="00253078" w:rsidRDefault="00253078" w:rsidP="00253078">
      <w:pPr>
        <w:pStyle w:val="ListParagraph"/>
        <w:numPr>
          <w:ilvl w:val="1"/>
          <w:numId w:val="5"/>
        </w:numPr>
      </w:pPr>
      <w:r>
        <w:t xml:space="preserve">Identifying the overall architecture and design of the solution, </w:t>
      </w:r>
      <w:proofErr w:type="gramStart"/>
      <w:r>
        <w:t>in particular describing</w:t>
      </w:r>
      <w:proofErr w:type="gramEnd"/>
      <w:r>
        <w:t xml:space="preserve"> the requirements that current holders of potential sources of PHI (e.g. </w:t>
      </w:r>
      <w:r w:rsidR="00793E33">
        <w:t>eHealth Ontario</w:t>
      </w:r>
      <w:r>
        <w:t>, hospitals) would be required to fulfill.</w:t>
      </w:r>
    </w:p>
    <w:p w14:paraId="6F235DCA" w14:textId="77777777" w:rsidR="00253078" w:rsidRDefault="00253078" w:rsidP="00253078">
      <w:pPr>
        <w:pStyle w:val="ListParagraph"/>
        <w:numPr>
          <w:ilvl w:val="1"/>
          <w:numId w:val="5"/>
        </w:numPr>
      </w:pPr>
      <w:r>
        <w:t>Listing the core technology required to build and operate the patient digital IAA service.</w:t>
      </w:r>
    </w:p>
    <w:p w14:paraId="5195F5F0" w14:textId="49DBE6DE" w:rsidR="00253078" w:rsidRDefault="00253078" w:rsidP="00253078">
      <w:pPr>
        <w:pStyle w:val="ListParagraph"/>
        <w:numPr>
          <w:ilvl w:val="1"/>
          <w:numId w:val="5"/>
        </w:numPr>
      </w:pPr>
      <w:r>
        <w:t>Describing how the requirements for operating the patient digital IAA service will be met</w:t>
      </w:r>
      <w:r w:rsidR="00B378BB">
        <w:t>, both for the duration of the project and at scale across the province</w:t>
      </w:r>
      <w:r>
        <w:t>.</w:t>
      </w:r>
    </w:p>
    <w:p w14:paraId="588E2EBF" w14:textId="08688912" w:rsidR="00D937A5" w:rsidRPr="00393936" w:rsidRDefault="00D937A5" w:rsidP="00D937A5">
      <w:pPr>
        <w:pStyle w:val="ListParagraph"/>
        <w:numPr>
          <w:ilvl w:val="1"/>
          <w:numId w:val="5"/>
        </w:numPr>
      </w:pPr>
      <w:r w:rsidRPr="00393936">
        <w:t xml:space="preserve">Timelines to meet the various project objectives and goals for the patient digital IAA </w:t>
      </w:r>
      <w:r w:rsidR="0081762C">
        <w:t>service</w:t>
      </w:r>
      <w:r w:rsidRPr="00393936">
        <w:t>.</w:t>
      </w:r>
    </w:p>
    <w:p w14:paraId="10A0F908" w14:textId="72BD355A" w:rsidR="00BC2818" w:rsidRDefault="00E014D7" w:rsidP="00876E17">
      <w:pPr>
        <w:pStyle w:val="ListParagraph"/>
        <w:numPr>
          <w:ilvl w:val="1"/>
          <w:numId w:val="5"/>
        </w:numPr>
      </w:pPr>
      <w:r>
        <w:t xml:space="preserve">Project management to ensure </w:t>
      </w:r>
      <w:r w:rsidR="00A30055">
        <w:t xml:space="preserve">deliverables are produced within </w:t>
      </w:r>
      <w:r w:rsidR="00D937A5">
        <w:t>the</w:t>
      </w:r>
      <w:r w:rsidR="00A30055">
        <w:t xml:space="preserve"> agreed upon timeframe.</w:t>
      </w:r>
    </w:p>
    <w:p w14:paraId="43DDD978" w14:textId="01A90E6C" w:rsidR="008B3C4F" w:rsidRDefault="00D937A5" w:rsidP="00876E17">
      <w:pPr>
        <w:pStyle w:val="ListParagraph"/>
        <w:numPr>
          <w:ilvl w:val="1"/>
          <w:numId w:val="5"/>
        </w:numPr>
      </w:pPr>
      <w:r>
        <w:t>Identifying and mitigating risks</w:t>
      </w:r>
      <w:r w:rsidR="008B3C4F">
        <w:t>.</w:t>
      </w:r>
    </w:p>
    <w:p w14:paraId="5248B3B5" w14:textId="2DD44813" w:rsidR="00A30055" w:rsidRDefault="008B3C4F" w:rsidP="00876E17">
      <w:pPr>
        <w:pStyle w:val="ListParagraph"/>
        <w:numPr>
          <w:ilvl w:val="1"/>
          <w:numId w:val="5"/>
        </w:numPr>
      </w:pPr>
      <w:r>
        <w:t>Process for resolving issues.</w:t>
      </w:r>
    </w:p>
    <w:p w14:paraId="6603CC74" w14:textId="77777777" w:rsidR="00D17AC2" w:rsidRPr="00393936" w:rsidRDefault="00FE0DA9" w:rsidP="00D17AC2">
      <w:pPr>
        <w:pStyle w:val="ListParagraph"/>
        <w:numPr>
          <w:ilvl w:val="1"/>
          <w:numId w:val="5"/>
        </w:numPr>
      </w:pPr>
      <w:r w:rsidRPr="00393936">
        <w:lastRenderedPageBreak/>
        <w:t xml:space="preserve">Best practices proposed to be used in </w:t>
      </w:r>
      <w:proofErr w:type="gramStart"/>
      <w:r w:rsidRPr="00393936">
        <w:t>any</w:t>
      </w:r>
      <w:r w:rsidR="00D17AC2" w:rsidRPr="00393936">
        <w:t xml:space="preserve"> / all of</w:t>
      </w:r>
      <w:proofErr w:type="gramEnd"/>
      <w:r w:rsidR="00D17AC2" w:rsidRPr="00393936">
        <w:t xml:space="preserve"> the above approaches;</w:t>
      </w:r>
    </w:p>
    <w:p w14:paraId="3AC77B0C" w14:textId="72D3376E" w:rsidR="00D17AC2" w:rsidRPr="00393936" w:rsidRDefault="00FE0DA9" w:rsidP="00D17AC2">
      <w:pPr>
        <w:pStyle w:val="ListParagraph"/>
        <w:numPr>
          <w:ilvl w:val="1"/>
          <w:numId w:val="5"/>
        </w:numPr>
      </w:pPr>
      <w:r w:rsidRPr="00393936">
        <w:t xml:space="preserve">Key success factors for the </w:t>
      </w:r>
      <w:r w:rsidR="00393936" w:rsidRPr="00393936">
        <w:t xml:space="preserve">patient digital IAA </w:t>
      </w:r>
      <w:r w:rsidR="0081762C">
        <w:t>service</w:t>
      </w:r>
      <w:r w:rsidR="00393936" w:rsidRPr="00393936">
        <w:t xml:space="preserve"> </w:t>
      </w:r>
      <w:r w:rsidRPr="00393936">
        <w:t>and / or approaches propose</w:t>
      </w:r>
      <w:r w:rsidR="00D17AC2" w:rsidRPr="00393936">
        <w:t>d; and,</w:t>
      </w:r>
    </w:p>
    <w:p w14:paraId="4C4B84C7" w14:textId="70DF1DAF" w:rsidR="00FE0DA9" w:rsidRDefault="00FE0DA9" w:rsidP="00D17AC2">
      <w:pPr>
        <w:pStyle w:val="ListParagraph"/>
        <w:numPr>
          <w:ilvl w:val="0"/>
          <w:numId w:val="5"/>
        </w:numPr>
      </w:pPr>
      <w:r>
        <w:t xml:space="preserve">Describe existing relationships of the </w:t>
      </w:r>
      <w:r w:rsidR="00BE25AC">
        <w:t xml:space="preserve">Lead Organization </w:t>
      </w:r>
      <w:r>
        <w:t xml:space="preserve">and any partner organizations that are proposed to be leveraged to meet the project objectives and goals. </w:t>
      </w:r>
    </w:p>
    <w:p w14:paraId="7948CE71" w14:textId="7F804F22" w:rsidR="00FE0DA9" w:rsidRPr="00D17AC2" w:rsidRDefault="00116F84" w:rsidP="00D17AC2">
      <w:pPr>
        <w:pStyle w:val="Heading2"/>
      </w:pPr>
      <w:bookmarkStart w:id="34" w:name="_Toc12826536"/>
      <w:bookmarkStart w:id="35" w:name="_Toc13242975"/>
      <w:r>
        <w:t>4</w:t>
      </w:r>
      <w:r w:rsidR="003B7B8B">
        <w:t xml:space="preserve">.3 </w:t>
      </w:r>
      <w:r w:rsidR="00FE0DA9" w:rsidRPr="00D17AC2">
        <w:t>Appendices</w:t>
      </w:r>
      <w:bookmarkEnd w:id="34"/>
      <w:bookmarkEnd w:id="35"/>
      <w:r w:rsidR="00FE0DA9" w:rsidRPr="00D17AC2">
        <w:t xml:space="preserve"> </w:t>
      </w:r>
    </w:p>
    <w:p w14:paraId="12120767" w14:textId="13F7684F" w:rsidR="00FE0DA9" w:rsidRPr="00C75844" w:rsidRDefault="00FE0DA9" w:rsidP="004F402E">
      <w:pPr>
        <w:pStyle w:val="ListParagraph"/>
        <w:numPr>
          <w:ilvl w:val="0"/>
          <w:numId w:val="7"/>
        </w:numPr>
        <w:rPr>
          <w:rFonts w:ascii="Arial" w:hAnsi="Arial" w:cs="Arial"/>
          <w:sz w:val="23"/>
          <w:szCs w:val="23"/>
        </w:rPr>
      </w:pPr>
      <w:r>
        <w:t xml:space="preserve">Include any additional information / evidence to support </w:t>
      </w:r>
      <w:r w:rsidR="00BE25AC">
        <w:t xml:space="preserve">the application </w:t>
      </w:r>
      <w:r>
        <w:t>(e.g. evidence of business-focused evaluations, evi</w:t>
      </w:r>
      <w:r w:rsidR="00D17AC2">
        <w:t xml:space="preserve">dence of commercial validation </w:t>
      </w:r>
      <w:r>
        <w:t xml:space="preserve">projects and assessment of market potential of digital health solutions, evidence of capacity to align with relevant standards, evidence on demonstrated capacity to advise entities on compatibility / navigation of provincial digital health (e.g. standards, policy, architecture, funding), evidence of demonstrated familiarity with the needs of various </w:t>
      </w:r>
      <w:r w:rsidR="0056507F">
        <w:t>clients (i.e.</w:t>
      </w:r>
      <w:r>
        <w:t xml:space="preserve"> patient and family</w:t>
      </w:r>
      <w:r w:rsidR="0056507F">
        <w:t>, HCP, government)</w:t>
      </w:r>
      <w:r>
        <w:t xml:space="preserve">, reference from previous clients on value generated by previous </w:t>
      </w:r>
      <w:r w:rsidR="0056507F">
        <w:t>work</w:t>
      </w:r>
      <w:r>
        <w:t xml:space="preserve">, etc.). </w:t>
      </w:r>
    </w:p>
    <w:p w14:paraId="1337A78D" w14:textId="77777777" w:rsidR="00C75844" w:rsidRPr="00D21A04" w:rsidRDefault="00C75844" w:rsidP="00C75844">
      <w:pPr>
        <w:rPr>
          <w:rFonts w:ascii="Arial" w:hAnsi="Arial" w:cs="Arial"/>
          <w:szCs w:val="23"/>
        </w:rPr>
      </w:pPr>
      <w:r w:rsidRPr="00D21A04">
        <w:rPr>
          <w:rFonts w:ascii="Arial" w:hAnsi="Arial" w:cs="Arial"/>
          <w:szCs w:val="23"/>
        </w:rPr>
        <w:t>Each Applicant will be informed of the status of their application, and if approved for funding, will be provided with copies of a Funding Agreement to sign. Applicants will be advised of any changes required to the project prior to finalizing the Funding Agreement. Ineligible or unsuccessful Applicants will be informed in writing [and provided with a brief explanation as to why the project was not funded]. The Applicant may request a debrief on why their application was not approved.</w:t>
      </w:r>
      <w:bookmarkStart w:id="36" w:name="_GoBack"/>
      <w:bookmarkEnd w:id="36"/>
    </w:p>
    <w:p w14:paraId="58B2A9FF" w14:textId="7DF1269D" w:rsidR="00FE0DA9" w:rsidRDefault="00D17AC2" w:rsidP="00296B74">
      <w:pPr>
        <w:pStyle w:val="Heading1"/>
        <w:numPr>
          <w:ilvl w:val="0"/>
          <w:numId w:val="29"/>
        </w:numPr>
      </w:pPr>
      <w:bookmarkStart w:id="37" w:name="_Toc12826537"/>
      <w:bookmarkStart w:id="38" w:name="_Toc13242976"/>
      <w:r>
        <w:t>Rights of the ministry</w:t>
      </w:r>
      <w:bookmarkEnd w:id="37"/>
      <w:bookmarkEnd w:id="38"/>
    </w:p>
    <w:p w14:paraId="51F6979A" w14:textId="77777777" w:rsidR="009B5A6E" w:rsidRDefault="009B5A6E" w:rsidP="00D17AC2"/>
    <w:p w14:paraId="6D4C20F9" w14:textId="09B730E5" w:rsidR="009B5A6E" w:rsidRPr="009B5A6E" w:rsidRDefault="009B5A6E" w:rsidP="009B5A6E">
      <w:pPr>
        <w:rPr>
          <w:rFonts w:ascii="Arial" w:hAnsi="Arial" w:cs="Arial"/>
          <w:b/>
          <w:szCs w:val="24"/>
        </w:rPr>
      </w:pPr>
      <w:r w:rsidRPr="009B5A6E">
        <w:rPr>
          <w:rFonts w:ascii="Arial" w:hAnsi="Arial" w:cs="Arial"/>
          <w:b/>
          <w:szCs w:val="24"/>
        </w:rPr>
        <w:t xml:space="preserve">All ministry decisions </w:t>
      </w:r>
      <w:r>
        <w:rPr>
          <w:rFonts w:ascii="Arial" w:hAnsi="Arial" w:cs="Arial"/>
          <w:b/>
          <w:szCs w:val="24"/>
        </w:rPr>
        <w:t xml:space="preserve">related in any way to this call for applicants </w:t>
      </w:r>
      <w:r w:rsidRPr="009B5A6E">
        <w:rPr>
          <w:rFonts w:ascii="Arial" w:hAnsi="Arial" w:cs="Arial"/>
          <w:b/>
          <w:szCs w:val="24"/>
        </w:rPr>
        <w:t>are final.</w:t>
      </w:r>
    </w:p>
    <w:p w14:paraId="59308296" w14:textId="7C22D020" w:rsidR="00FE0DA9" w:rsidRDefault="00FE0DA9" w:rsidP="00D17AC2">
      <w:r>
        <w:t xml:space="preserve">In </w:t>
      </w:r>
      <w:proofErr w:type="gramStart"/>
      <w:r>
        <w:t>submitting an application</w:t>
      </w:r>
      <w:proofErr w:type="gramEnd"/>
      <w:r>
        <w:t xml:space="preserve">, the </w:t>
      </w:r>
      <w:r w:rsidR="00463349">
        <w:t>Applicant</w:t>
      </w:r>
      <w:r>
        <w:t xml:space="preserve"> acknowledges that the ministry may at its sole discretion: </w:t>
      </w:r>
    </w:p>
    <w:p w14:paraId="350EA45C" w14:textId="602E0159" w:rsidR="00D17AC2" w:rsidRDefault="00FE0DA9" w:rsidP="00D17AC2">
      <w:pPr>
        <w:pStyle w:val="ListParagraph"/>
        <w:numPr>
          <w:ilvl w:val="0"/>
          <w:numId w:val="7"/>
        </w:numPr>
      </w:pPr>
      <w:r>
        <w:t xml:space="preserve">Communicate directly with any </w:t>
      </w:r>
      <w:r w:rsidR="00463349">
        <w:t>Applicant</w:t>
      </w:r>
      <w:r w:rsidR="00D17AC2">
        <w:t xml:space="preserve"> or potential </w:t>
      </w:r>
      <w:r w:rsidR="00463349">
        <w:t>Applicant</w:t>
      </w:r>
      <w:r w:rsidR="00D17AC2">
        <w:t>s;</w:t>
      </w:r>
    </w:p>
    <w:p w14:paraId="0DC43E88" w14:textId="59ABCB93" w:rsidR="00D17AC2" w:rsidRDefault="00FE0DA9" w:rsidP="00D17AC2">
      <w:pPr>
        <w:pStyle w:val="ListParagraph"/>
        <w:numPr>
          <w:ilvl w:val="0"/>
          <w:numId w:val="7"/>
        </w:numPr>
      </w:pPr>
      <w:r>
        <w:t xml:space="preserve">Verify with any </w:t>
      </w:r>
      <w:r w:rsidR="00463349">
        <w:t>Applicant</w:t>
      </w:r>
      <w:r>
        <w:t xml:space="preserve"> or third party any information set o</w:t>
      </w:r>
      <w:r w:rsidR="00D17AC2">
        <w:t xml:space="preserve">ut in the application; </w:t>
      </w:r>
    </w:p>
    <w:p w14:paraId="429D887B" w14:textId="0A49EE0E" w:rsidR="0006336C" w:rsidRDefault="00FE0DA9" w:rsidP="0006336C">
      <w:pPr>
        <w:pStyle w:val="ListParagraph"/>
        <w:numPr>
          <w:ilvl w:val="0"/>
          <w:numId w:val="7"/>
        </w:numPr>
      </w:pPr>
      <w:r>
        <w:t>Decide not to procee</w:t>
      </w:r>
      <w:r w:rsidR="00D17AC2">
        <w:t>d with any or all applications</w:t>
      </w:r>
      <w:r w:rsidR="00BE25AC">
        <w:t>;</w:t>
      </w:r>
    </w:p>
    <w:p w14:paraId="6FEAE781" w14:textId="0555E7D3" w:rsidR="00BE25AC" w:rsidRDefault="00BE25AC" w:rsidP="0006336C">
      <w:pPr>
        <w:pStyle w:val="ListParagraph"/>
        <w:numPr>
          <w:ilvl w:val="0"/>
          <w:numId w:val="7"/>
        </w:numPr>
      </w:pPr>
      <w:r>
        <w:t xml:space="preserve">May choose which </w:t>
      </w:r>
      <w:r w:rsidR="00463349">
        <w:t>Applicant</w:t>
      </w:r>
      <w:r>
        <w:t xml:space="preserve"> and which project to fund, if any; </w:t>
      </w:r>
    </w:p>
    <w:p w14:paraId="7E52C5FE" w14:textId="4636DC83" w:rsidR="0006336C" w:rsidRPr="009B5A6E" w:rsidRDefault="0006336C" w:rsidP="0006336C">
      <w:pPr>
        <w:pStyle w:val="ListParagraph"/>
        <w:numPr>
          <w:ilvl w:val="0"/>
          <w:numId w:val="7"/>
        </w:numPr>
        <w:rPr>
          <w:szCs w:val="24"/>
        </w:rPr>
      </w:pPr>
      <w:r w:rsidRPr="0006336C">
        <w:t xml:space="preserve">Proceed with multiple solutions or require additional participants as partner </w:t>
      </w:r>
      <w:r w:rsidRPr="009B5A6E">
        <w:rPr>
          <w:szCs w:val="24"/>
        </w:rPr>
        <w:t xml:space="preserve">organizations in the </w:t>
      </w:r>
      <w:r w:rsidR="00F21639" w:rsidRPr="009B5A6E">
        <w:rPr>
          <w:szCs w:val="24"/>
        </w:rPr>
        <w:t>application</w:t>
      </w:r>
      <w:r w:rsidRPr="009B5A6E">
        <w:rPr>
          <w:szCs w:val="24"/>
        </w:rPr>
        <w:t>.</w:t>
      </w:r>
    </w:p>
    <w:p w14:paraId="3791B427" w14:textId="6FA2C32E" w:rsidR="009B5A6E" w:rsidRPr="009B5A6E" w:rsidRDefault="009B5A6E" w:rsidP="009B5A6E">
      <w:pPr>
        <w:rPr>
          <w:rFonts w:ascii="Arial" w:hAnsi="Arial" w:cs="Arial"/>
          <w:szCs w:val="24"/>
        </w:rPr>
      </w:pPr>
      <w:proofErr w:type="gramStart"/>
      <w:r w:rsidRPr="009B5A6E">
        <w:rPr>
          <w:rFonts w:ascii="Arial" w:hAnsi="Arial" w:cs="Arial"/>
          <w:szCs w:val="24"/>
        </w:rPr>
        <w:lastRenderedPageBreak/>
        <w:t>In order to</w:t>
      </w:r>
      <w:proofErr w:type="gramEnd"/>
      <w:r w:rsidRPr="009B5A6E">
        <w:rPr>
          <w:rFonts w:ascii="Arial" w:hAnsi="Arial" w:cs="Arial"/>
          <w:szCs w:val="24"/>
        </w:rPr>
        <w:t xml:space="preserve"> receive any potential funding, successful Applicants would be required to</w:t>
      </w:r>
      <w:r>
        <w:rPr>
          <w:rFonts w:ascii="Arial" w:hAnsi="Arial" w:cs="Arial"/>
          <w:szCs w:val="24"/>
        </w:rPr>
        <w:t>, among other requirements</w:t>
      </w:r>
      <w:r w:rsidRPr="009B5A6E">
        <w:rPr>
          <w:rFonts w:ascii="Arial" w:hAnsi="Arial" w:cs="Arial"/>
          <w:szCs w:val="24"/>
        </w:rPr>
        <w:t xml:space="preserve">: </w:t>
      </w:r>
    </w:p>
    <w:p w14:paraId="6BB9163B" w14:textId="77777777" w:rsidR="009B5A6E" w:rsidRPr="009B5A6E" w:rsidRDefault="009B5A6E" w:rsidP="009B5A6E">
      <w:pPr>
        <w:pStyle w:val="ListParagraph"/>
        <w:numPr>
          <w:ilvl w:val="0"/>
          <w:numId w:val="7"/>
        </w:numPr>
        <w:rPr>
          <w:rFonts w:ascii="Arial" w:hAnsi="Arial" w:cs="Arial"/>
          <w:szCs w:val="24"/>
        </w:rPr>
      </w:pPr>
      <w:r w:rsidRPr="009B5A6E">
        <w:rPr>
          <w:rFonts w:ascii="Arial" w:hAnsi="Arial" w:cs="Arial"/>
          <w:szCs w:val="24"/>
        </w:rPr>
        <w:t>Sign a Funding Agreement with the Province of Ontario outlining the terms and conditions for receiving funds.</w:t>
      </w:r>
    </w:p>
    <w:p w14:paraId="3696BC03" w14:textId="2EAA6C2D" w:rsidR="009B5A6E" w:rsidRPr="009B5A6E" w:rsidRDefault="009B5A6E" w:rsidP="009B5A6E">
      <w:pPr>
        <w:pStyle w:val="ListParagraph"/>
        <w:numPr>
          <w:ilvl w:val="0"/>
          <w:numId w:val="7"/>
        </w:numPr>
        <w:rPr>
          <w:rFonts w:ascii="Arial" w:hAnsi="Arial" w:cs="Arial"/>
          <w:szCs w:val="24"/>
        </w:rPr>
      </w:pPr>
      <w:r w:rsidRPr="009B5A6E">
        <w:rPr>
          <w:rFonts w:ascii="Arial" w:hAnsi="Arial" w:cs="Arial"/>
          <w:szCs w:val="24"/>
        </w:rPr>
        <w:t xml:space="preserve">Have or seek commercial general liability insurance coverage, of an amount to be determined </w:t>
      </w:r>
      <w:proofErr w:type="gramStart"/>
      <w:r w:rsidRPr="009B5A6E">
        <w:rPr>
          <w:rFonts w:ascii="Arial" w:hAnsi="Arial" w:cs="Arial"/>
          <w:szCs w:val="24"/>
        </w:rPr>
        <w:t>at a later date</w:t>
      </w:r>
      <w:proofErr w:type="gramEnd"/>
      <w:r w:rsidRPr="009B5A6E">
        <w:rPr>
          <w:rFonts w:ascii="Arial" w:hAnsi="Arial" w:cs="Arial"/>
          <w:szCs w:val="24"/>
        </w:rPr>
        <w:t xml:space="preserve">, and to add “Her Majesty the Queen in Right of Ontario” as an additional insured on this coverage before the Funding Agreement can be executed. </w:t>
      </w:r>
    </w:p>
    <w:p w14:paraId="263805D4" w14:textId="77777777" w:rsidR="009B5A6E" w:rsidRPr="009B5A6E" w:rsidRDefault="009B5A6E" w:rsidP="00D17AC2">
      <w:pPr>
        <w:rPr>
          <w:szCs w:val="24"/>
        </w:rPr>
      </w:pPr>
    </w:p>
    <w:p w14:paraId="56520B93" w14:textId="77777777" w:rsidR="00FE0DA9" w:rsidRDefault="00FE0DA9" w:rsidP="00296B74">
      <w:pPr>
        <w:pStyle w:val="Heading1"/>
        <w:numPr>
          <w:ilvl w:val="0"/>
          <w:numId w:val="29"/>
        </w:numPr>
      </w:pPr>
      <w:bookmarkStart w:id="39" w:name="_Toc12826538"/>
      <w:bookmarkStart w:id="40" w:name="_Toc13242977"/>
      <w:r>
        <w:t>No commitments to fund</w:t>
      </w:r>
      <w:bookmarkEnd w:id="39"/>
      <w:bookmarkEnd w:id="40"/>
      <w:r>
        <w:t xml:space="preserve"> </w:t>
      </w:r>
    </w:p>
    <w:p w14:paraId="31DBBF00" w14:textId="77777777" w:rsidR="009B5A6E" w:rsidRDefault="009B5A6E" w:rsidP="00D17AC2"/>
    <w:p w14:paraId="2492FC31" w14:textId="5226B432" w:rsidR="00FE0DA9" w:rsidRDefault="00FE0DA9" w:rsidP="00D17AC2">
      <w:r>
        <w:t xml:space="preserve">The ministry: </w:t>
      </w:r>
    </w:p>
    <w:p w14:paraId="35E1ABF5" w14:textId="515D3806" w:rsidR="00D17AC2" w:rsidRDefault="00FE0DA9" w:rsidP="00D17AC2">
      <w:pPr>
        <w:pStyle w:val="ListParagraph"/>
        <w:numPr>
          <w:ilvl w:val="0"/>
          <w:numId w:val="8"/>
        </w:numPr>
      </w:pPr>
      <w:r>
        <w:t>Makes no co</w:t>
      </w:r>
      <w:r w:rsidR="00D17AC2">
        <w:t xml:space="preserve">mmitment to fund any </w:t>
      </w:r>
      <w:r w:rsidR="00463349">
        <w:t>Applicant</w:t>
      </w:r>
      <w:r w:rsidR="00BE25AC">
        <w:t xml:space="preserve"> or any project</w:t>
      </w:r>
      <w:r w:rsidR="001A2E8C">
        <w:t>.</w:t>
      </w:r>
    </w:p>
    <w:p w14:paraId="1996C847" w14:textId="57E02AD4" w:rsidR="007B0AB3" w:rsidRDefault="00FE0DA9" w:rsidP="00D17AC2">
      <w:pPr>
        <w:pStyle w:val="ListParagraph"/>
        <w:numPr>
          <w:ilvl w:val="0"/>
          <w:numId w:val="8"/>
        </w:numPr>
      </w:pPr>
      <w:r>
        <w:t xml:space="preserve">Shall not be responsible for any cost or expenses incurred by any </w:t>
      </w:r>
      <w:r w:rsidR="00463349">
        <w:t>Applicant</w:t>
      </w:r>
      <w:r>
        <w:t>, including any costs or expenses associated with preparing and submitting responses</w:t>
      </w:r>
      <w:r w:rsidR="00D17AC2">
        <w:t xml:space="preserve"> to this Call for Applications</w:t>
      </w:r>
      <w:r w:rsidR="001A2E8C">
        <w:t>.</w:t>
      </w:r>
    </w:p>
    <w:p w14:paraId="6BFBD5C0" w14:textId="1BA892F3" w:rsidR="007B0AB3" w:rsidRDefault="007B0AB3" w:rsidP="00AE1303">
      <w:pPr>
        <w:pStyle w:val="ListParagraph"/>
        <w:numPr>
          <w:ilvl w:val="0"/>
          <w:numId w:val="8"/>
        </w:numPr>
      </w:pPr>
      <w:r>
        <w:t>Any payment by the ministry is subject to there being an appropriation from the Ontario legislature for the fiscal year in which the payment is to be made and there being funds available.</w:t>
      </w:r>
      <w:r w:rsidR="0052207D">
        <w:t xml:space="preserve"> </w:t>
      </w:r>
    </w:p>
    <w:p w14:paraId="48BD93EC" w14:textId="21D43ED9" w:rsidR="007B0AB3" w:rsidRDefault="007B0AB3" w:rsidP="00AE1303">
      <w:pPr>
        <w:pStyle w:val="ListParagraph"/>
        <w:numPr>
          <w:ilvl w:val="0"/>
          <w:numId w:val="8"/>
        </w:numPr>
      </w:pPr>
      <w:r>
        <w:t>Funds received in a given funding year may only be spent on eligible activities carried out during that funding year and specified in the budget and work plan attached to the Funding Agreement</w:t>
      </w:r>
      <w:r w:rsidR="001A2E8C">
        <w:t>.</w:t>
      </w:r>
    </w:p>
    <w:p w14:paraId="55E6377F" w14:textId="21C952B1" w:rsidR="009F3BE4" w:rsidRDefault="009F3BE4" w:rsidP="001A2E8C">
      <w:r>
        <w:t xml:space="preserve">The program is a discretionary, non-entitlement program with a limited funding allocation. In some </w:t>
      </w:r>
      <w:proofErr w:type="gramStart"/>
      <w:r>
        <w:t>instances</w:t>
      </w:r>
      <w:proofErr w:type="gramEnd"/>
      <w:r>
        <w:t xml:space="preserve"> a project that meets all program criteria may not be approved for funding as other projects may more effectively meet the criteria.</w:t>
      </w:r>
    </w:p>
    <w:p w14:paraId="066737DE" w14:textId="4FD12C71" w:rsidR="007B0AB3" w:rsidRPr="009B5A6E" w:rsidRDefault="007B0AB3" w:rsidP="001A2E8C">
      <w:pPr>
        <w:rPr>
          <w:i/>
        </w:rPr>
      </w:pPr>
      <w:r w:rsidRPr="009B5A6E">
        <w:rPr>
          <w:i/>
        </w:rPr>
        <w:t>Freedom of Information and Protection of Privacy Act</w:t>
      </w:r>
    </w:p>
    <w:p w14:paraId="45A7F712" w14:textId="77777777" w:rsidR="00AE1303" w:rsidRDefault="007B0AB3" w:rsidP="00AE1303">
      <w:r>
        <w:t xml:space="preserve">All applications submitted to the ministry are subject to the access to information provisions of the </w:t>
      </w:r>
      <w:r w:rsidRPr="001A2E8C">
        <w:rPr>
          <w:i/>
        </w:rPr>
        <w:t>Freedom of Information and Protection of Privacy Act</w:t>
      </w:r>
      <w:r>
        <w:t xml:space="preserve"> (the “Act”). The Act provides all persons with a legal right of access to information in the custody and/or control of the ministry, subject to a limited set of exemptions. One such exemption is information that reveals a trade </w:t>
      </w:r>
      <w:proofErr w:type="gramStart"/>
      <w:r>
        <w:t>secret</w:t>
      </w:r>
      <w:proofErr w:type="gramEnd"/>
      <w:r>
        <w:t xml:space="preserve"> or scientific, technical, commercial, financial or labour relations information supplied in confidence, where disclosure could reasonably be expected to result in certain harms. If an Applicant believes that any of the </w:t>
      </w:r>
      <w:r>
        <w:lastRenderedPageBreak/>
        <w:t>information it submits in connection with its application is confidential and wishes to protect the confidentiality of such information, the Applicant should clearly mark the information “confidential.” If the ministry receives a request for access to the information marked “confidential”, the ministry will contact the Applicant so that it may, if it wishes, make representations concerning the release of the requested information. Marking the information “confidential” does not mean that the information will not be released if and as required under the Act.</w:t>
      </w:r>
    </w:p>
    <w:sectPr w:rsidR="00AE1303" w:rsidSect="000B1204">
      <w:headerReference w:type="default" r:id="rId11"/>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438B1" w14:textId="77777777" w:rsidR="007A48EC" w:rsidRDefault="007A48EC" w:rsidP="00F72078">
      <w:pPr>
        <w:spacing w:after="0" w:line="240" w:lineRule="auto"/>
      </w:pPr>
      <w:r>
        <w:separator/>
      </w:r>
    </w:p>
  </w:endnote>
  <w:endnote w:type="continuationSeparator" w:id="0">
    <w:p w14:paraId="60595A46" w14:textId="77777777" w:rsidR="007A48EC" w:rsidRDefault="007A48EC" w:rsidP="00F72078">
      <w:pPr>
        <w:spacing w:after="0" w:line="240" w:lineRule="auto"/>
      </w:pPr>
      <w:r>
        <w:continuationSeparator/>
      </w:r>
    </w:p>
  </w:endnote>
  <w:endnote w:type="continuationNotice" w:id="1">
    <w:p w14:paraId="313CFDE4" w14:textId="77777777" w:rsidR="007A48EC" w:rsidRDefault="007A4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982965"/>
      <w:docPartObj>
        <w:docPartGallery w:val="Page Numbers (Bottom of Page)"/>
        <w:docPartUnique/>
      </w:docPartObj>
    </w:sdtPr>
    <w:sdtEndPr/>
    <w:sdtContent>
      <w:sdt>
        <w:sdtPr>
          <w:id w:val="-1769616900"/>
          <w:docPartObj>
            <w:docPartGallery w:val="Page Numbers (Top of Page)"/>
            <w:docPartUnique/>
          </w:docPartObj>
        </w:sdtPr>
        <w:sdtEndPr/>
        <w:sdtContent>
          <w:p w14:paraId="7EFC934C" w14:textId="1F127587" w:rsidR="00AA08EA" w:rsidRDefault="00AA08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F5FAD" w14:textId="77777777" w:rsidR="00AA08EA" w:rsidRDefault="00AA0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F4E5D" w14:textId="77777777" w:rsidR="007A48EC" w:rsidRDefault="007A48EC" w:rsidP="00F72078">
      <w:pPr>
        <w:spacing w:after="0" w:line="240" w:lineRule="auto"/>
      </w:pPr>
      <w:r>
        <w:separator/>
      </w:r>
    </w:p>
  </w:footnote>
  <w:footnote w:type="continuationSeparator" w:id="0">
    <w:p w14:paraId="680511D8" w14:textId="77777777" w:rsidR="007A48EC" w:rsidRDefault="007A48EC" w:rsidP="00F72078">
      <w:pPr>
        <w:spacing w:after="0" w:line="240" w:lineRule="auto"/>
      </w:pPr>
      <w:r>
        <w:continuationSeparator/>
      </w:r>
    </w:p>
  </w:footnote>
  <w:footnote w:type="continuationNotice" w:id="1">
    <w:p w14:paraId="49F2D2A5" w14:textId="77777777" w:rsidR="007A48EC" w:rsidRDefault="007A48EC">
      <w:pPr>
        <w:spacing w:after="0" w:line="240" w:lineRule="auto"/>
      </w:pPr>
    </w:p>
  </w:footnote>
  <w:footnote w:id="2">
    <w:p w14:paraId="42D59116" w14:textId="3AEA34EA" w:rsidR="00AA08EA" w:rsidRPr="00296B74" w:rsidRDefault="00AA08EA" w:rsidP="00CE2B72">
      <w:pPr>
        <w:pStyle w:val="FootnoteText"/>
        <w:rPr>
          <w:lang w:val="en-US"/>
        </w:rPr>
      </w:pPr>
      <w:r>
        <w:rPr>
          <w:rStyle w:val="FootnoteReference"/>
        </w:rPr>
        <w:footnoteRef/>
      </w:r>
      <w:r>
        <w:t xml:space="preserve"> </w:t>
      </w:r>
      <w:r w:rsidRPr="00647529">
        <w:t xml:space="preserve">To </w:t>
      </w:r>
      <w:r>
        <w:t>learn</w:t>
      </w:r>
      <w:r w:rsidRPr="00647529">
        <w:t xml:space="preserve"> more about </w:t>
      </w:r>
      <w:r>
        <w:t>Ontario Health Teams</w:t>
      </w:r>
      <w:r w:rsidRPr="00647529">
        <w:t>, please visit http://health.gov.on.ca/en/pro/programs/connectedcare/oht/</w:t>
      </w:r>
    </w:p>
  </w:footnote>
  <w:footnote w:id="3">
    <w:p w14:paraId="162BD6BB" w14:textId="45FCD4D7" w:rsidR="00AA08EA" w:rsidRPr="00296B74" w:rsidRDefault="00AA08EA" w:rsidP="00CE2B72">
      <w:pPr>
        <w:pStyle w:val="FootnoteText"/>
        <w:rPr>
          <w:lang w:val="en-US"/>
        </w:rPr>
      </w:pPr>
      <w:r>
        <w:rPr>
          <w:rStyle w:val="FootnoteReference"/>
        </w:rPr>
        <w:footnoteRef/>
      </w:r>
      <w:r>
        <w:t xml:space="preserve"> </w:t>
      </w:r>
      <w:r>
        <w:rPr>
          <w:lang w:val="en-US"/>
        </w:rPr>
        <w:t xml:space="preserve">To learn more about Ontario Health, please visit </w:t>
      </w:r>
      <w:r w:rsidRPr="006E6149">
        <w:rPr>
          <w:lang w:val="en-US"/>
        </w:rPr>
        <w:t>https://www.ontario.ca/page/ontario-health-agency</w:t>
      </w:r>
    </w:p>
  </w:footnote>
  <w:footnote w:id="4">
    <w:p w14:paraId="72852B58" w14:textId="7A1E9634" w:rsidR="00AA08EA" w:rsidRPr="009A2580" w:rsidRDefault="00AA08EA">
      <w:pPr>
        <w:pStyle w:val="FootnoteText"/>
        <w:rPr>
          <w:lang w:val="en-US"/>
        </w:rPr>
      </w:pPr>
      <w:r>
        <w:rPr>
          <w:rStyle w:val="FootnoteReference"/>
        </w:rPr>
        <w:footnoteRef/>
      </w:r>
      <w:r>
        <w:t xml:space="preserve"> </w:t>
      </w:r>
      <w:r>
        <w:rPr>
          <w:lang w:val="en-US"/>
        </w:rPr>
        <w:t xml:space="preserve">To read the report and its recommendations, please visit </w:t>
      </w:r>
      <w:r w:rsidRPr="006E4BF6">
        <w:rPr>
          <w:lang w:val="en-US"/>
        </w:rPr>
        <w:t>https://www.ontario.ca/document/healthy-ontario-building-sustainable-health-care-system</w:t>
      </w:r>
    </w:p>
  </w:footnote>
  <w:footnote w:id="5">
    <w:p w14:paraId="05C42A1A" w14:textId="18C2311D" w:rsidR="00AA08EA" w:rsidRPr="000B7018" w:rsidRDefault="00AA08EA" w:rsidP="00FA3851">
      <w:pPr>
        <w:pStyle w:val="FootnoteText"/>
        <w:rPr>
          <w:lang w:val="en-US"/>
        </w:rPr>
      </w:pPr>
      <w:r>
        <w:rPr>
          <w:rStyle w:val="FootnoteReference"/>
        </w:rPr>
        <w:footnoteRef/>
      </w:r>
      <w:r>
        <w:t xml:space="preserve"> </w:t>
      </w:r>
      <w:r>
        <w:rPr>
          <w:lang w:val="en-US"/>
        </w:rPr>
        <w:t xml:space="preserve">To learn more about OpenID Connect, please visit </w:t>
      </w:r>
      <w:r w:rsidRPr="00A50C9C">
        <w:rPr>
          <w:lang w:val="en-US"/>
        </w:rPr>
        <w:t>https://openid.net/connect/</w:t>
      </w:r>
    </w:p>
  </w:footnote>
  <w:footnote w:id="6">
    <w:p w14:paraId="518FEDA7" w14:textId="77777777" w:rsidR="00AA08EA" w:rsidRPr="000B7018" w:rsidRDefault="00AA08EA" w:rsidP="00FA3851">
      <w:pPr>
        <w:pStyle w:val="FootnoteText"/>
        <w:rPr>
          <w:lang w:val="en-US"/>
        </w:rPr>
      </w:pPr>
      <w:r>
        <w:rPr>
          <w:rStyle w:val="FootnoteReference"/>
        </w:rPr>
        <w:footnoteRef/>
      </w:r>
      <w:r>
        <w:t xml:space="preserve"> </w:t>
      </w:r>
      <w:r>
        <w:rPr>
          <w:lang w:val="en-US"/>
        </w:rPr>
        <w:t xml:space="preserve">To learn more about Open Mobile Alliance specifications, please visit </w:t>
      </w:r>
      <w:r w:rsidRPr="00A534D0">
        <w:rPr>
          <w:lang w:val="en-US"/>
        </w:rPr>
        <w:t>http://openmobilealliance.org/wp/index.html</w:t>
      </w:r>
    </w:p>
  </w:footnote>
  <w:footnote w:id="7">
    <w:p w14:paraId="199D0114" w14:textId="77777777" w:rsidR="00AA08EA" w:rsidRPr="000B7018" w:rsidRDefault="00AA08EA" w:rsidP="00FA3851">
      <w:pPr>
        <w:pStyle w:val="FootnoteText"/>
        <w:rPr>
          <w:lang w:val="en-US"/>
        </w:rPr>
      </w:pPr>
      <w:r>
        <w:rPr>
          <w:rStyle w:val="FootnoteReference"/>
        </w:rPr>
        <w:footnoteRef/>
      </w:r>
      <w:r>
        <w:t xml:space="preserve"> </w:t>
      </w:r>
      <w:r>
        <w:rPr>
          <w:lang w:val="en-US"/>
        </w:rPr>
        <w:t xml:space="preserve">To learn more about World Wide Web Consortium standards, please visit </w:t>
      </w:r>
      <w:r w:rsidRPr="00A50C9C">
        <w:rPr>
          <w:lang w:val="en-US"/>
        </w:rPr>
        <w:t>https://www.w3.org/standards/</w:t>
      </w:r>
    </w:p>
  </w:footnote>
  <w:footnote w:id="8">
    <w:p w14:paraId="42AD33F6" w14:textId="10447DF3" w:rsidR="00AA08EA" w:rsidRPr="009D4B99" w:rsidRDefault="00AA08EA">
      <w:pPr>
        <w:pStyle w:val="FootnoteText"/>
        <w:rPr>
          <w:lang w:val="en-US"/>
        </w:rPr>
      </w:pPr>
      <w:r>
        <w:rPr>
          <w:rStyle w:val="FootnoteReference"/>
        </w:rPr>
        <w:footnoteRef/>
      </w:r>
      <w:r>
        <w:t xml:space="preserve"> </w:t>
      </w:r>
      <w:r>
        <w:rPr>
          <w:lang w:val="en-US"/>
        </w:rPr>
        <w:t xml:space="preserve">To learn more about DIACC’s draft components of the Pan-Canadian Trust Framework, please visit </w:t>
      </w:r>
      <w:r w:rsidRPr="001F6F47">
        <w:rPr>
          <w:lang w:val="en-US"/>
        </w:rPr>
        <w:t>https://diacc.ca/pan-canadian-trust-framework/</w:t>
      </w:r>
    </w:p>
  </w:footnote>
  <w:footnote w:id="9">
    <w:p w14:paraId="2E09EBE6" w14:textId="6AAD84CD" w:rsidR="00AA08EA" w:rsidRPr="00504777" w:rsidRDefault="00AA08EA">
      <w:pPr>
        <w:pStyle w:val="FootnoteText"/>
        <w:rPr>
          <w:lang w:val="en-US"/>
        </w:rPr>
      </w:pPr>
      <w:r>
        <w:rPr>
          <w:rStyle w:val="FootnoteReference"/>
        </w:rPr>
        <w:footnoteRef/>
      </w:r>
      <w:r>
        <w:t xml:space="preserve"> </w:t>
      </w:r>
      <w:r>
        <w:rPr>
          <w:lang w:val="en-US"/>
        </w:rPr>
        <w:t xml:space="preserve">To find out more about </w:t>
      </w:r>
      <w:r w:rsidRPr="00FE37C0">
        <w:rPr>
          <w:lang w:val="en-US"/>
        </w:rPr>
        <w:t>Government of Ontario Information and Technology Standards</w:t>
      </w:r>
      <w:r>
        <w:rPr>
          <w:lang w:val="en-US"/>
        </w:rPr>
        <w:t xml:space="preserve">, please visit </w:t>
      </w:r>
      <w:r w:rsidRPr="003344B2">
        <w:rPr>
          <w:lang w:val="en-US"/>
        </w:rPr>
        <w:t>https://www.ontario.ca/page/information-technology-standards</w:t>
      </w:r>
    </w:p>
  </w:footnote>
  <w:footnote w:id="10">
    <w:p w14:paraId="2589B389" w14:textId="4BDB967E" w:rsidR="00AA08EA" w:rsidRPr="00E81AB9" w:rsidRDefault="00AA08EA">
      <w:pPr>
        <w:pStyle w:val="FootnoteText"/>
        <w:rPr>
          <w:lang w:val="en-US"/>
        </w:rPr>
      </w:pPr>
      <w:r>
        <w:rPr>
          <w:rStyle w:val="FootnoteReference"/>
        </w:rPr>
        <w:footnoteRef/>
      </w:r>
      <w:r>
        <w:t xml:space="preserve"> The </w:t>
      </w:r>
      <w:r w:rsidRPr="00E81AB9">
        <w:t>Consumer</w:t>
      </w:r>
      <w:r>
        <w:t xml:space="preserve"> Gateway requires compliancy with OPENID Connect.</w:t>
      </w:r>
    </w:p>
  </w:footnote>
  <w:footnote w:id="11">
    <w:p w14:paraId="439F2399" w14:textId="73EDE90E" w:rsidR="0099436B" w:rsidRPr="00D81E50" w:rsidRDefault="0099436B">
      <w:pPr>
        <w:pStyle w:val="FootnoteText"/>
        <w:rPr>
          <w:lang w:val="en-US"/>
        </w:rPr>
      </w:pPr>
      <w:r>
        <w:rPr>
          <w:rStyle w:val="FootnoteReference"/>
        </w:rPr>
        <w:footnoteRef/>
      </w:r>
      <w:r>
        <w:t xml:space="preserve"> </w:t>
      </w:r>
      <w:r>
        <w:rPr>
          <w:lang w:val="en-US"/>
        </w:rPr>
        <w:t xml:space="preserve">To learn more about </w:t>
      </w:r>
      <w:r w:rsidR="00D81E50">
        <w:rPr>
          <w:lang w:val="en-US"/>
        </w:rPr>
        <w:t xml:space="preserve">the security requirements for cloud services, please visit </w:t>
      </w:r>
      <w:r w:rsidR="00D81E50" w:rsidRPr="00D81E50">
        <w:rPr>
          <w:lang w:val="en-US"/>
        </w:rPr>
        <w:t>https://www.ontario.ca/page/go-its-2521-security-requirements-cloud-services</w:t>
      </w:r>
    </w:p>
  </w:footnote>
  <w:footnote w:id="12">
    <w:p w14:paraId="6F5A23D5" w14:textId="3B2FDF5F" w:rsidR="00AA08EA" w:rsidRPr="0001689D" w:rsidRDefault="00AA08EA">
      <w:pPr>
        <w:pStyle w:val="FootnoteText"/>
        <w:rPr>
          <w:lang w:val="en-US"/>
        </w:rPr>
      </w:pPr>
      <w:r>
        <w:rPr>
          <w:rStyle w:val="FootnoteReference"/>
        </w:rPr>
        <w:footnoteRef/>
      </w:r>
      <w:r>
        <w:t xml:space="preserve"> </w:t>
      </w:r>
      <w:r>
        <w:rPr>
          <w:lang w:val="en-US"/>
        </w:rPr>
        <w:t xml:space="preserve">To learn more about these requirements under the PHIPA, please visit </w:t>
      </w:r>
      <w:hyperlink r:id="rId1" w:history="1">
        <w:r w:rsidR="001626E2" w:rsidRPr="00743033">
          <w:rPr>
            <w:rStyle w:val="Hyperlink"/>
            <w:lang w:val="en-US"/>
          </w:rPr>
          <w:t>https://www.ontario.ca/laws/statute/04p03</w:t>
        </w:r>
      </w:hyperlink>
      <w:r w:rsidR="001626E2">
        <w:rPr>
          <w:lang w:val="en-US"/>
        </w:rPr>
        <w:tab/>
      </w:r>
    </w:p>
  </w:footnote>
  <w:footnote w:id="13">
    <w:p w14:paraId="3BD59A13" w14:textId="588171AC" w:rsidR="00AA08EA" w:rsidRPr="009A2580" w:rsidRDefault="00AA08EA">
      <w:pPr>
        <w:pStyle w:val="FootnoteText"/>
        <w:rPr>
          <w:lang w:val="en-US"/>
        </w:rPr>
      </w:pPr>
      <w:r>
        <w:rPr>
          <w:rStyle w:val="FootnoteReference"/>
        </w:rPr>
        <w:footnoteRef/>
      </w:r>
      <w:r>
        <w:t xml:space="preserve"> </w:t>
      </w:r>
      <w:r>
        <w:rPr>
          <w:lang w:val="en-US"/>
        </w:rPr>
        <w:t xml:space="preserve">To learn more about the Ontario Digital Service and the Digital Service Standard, please visit </w:t>
      </w:r>
      <w:r w:rsidRPr="00C77773">
        <w:rPr>
          <w:lang w:val="en-US"/>
        </w:rPr>
        <w:t>https://www.ontario.ca/page/ontario-digital-service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5087" w14:textId="0E4F20E1" w:rsidR="00AA08EA" w:rsidRDefault="00AA08EA" w:rsidP="0084029B">
    <w:pPr>
      <w:pStyle w:val="Header"/>
      <w:jc w:val="right"/>
    </w:pPr>
    <w:r>
      <w:rPr>
        <w:noProof/>
      </w:rPr>
      <w:drawing>
        <wp:inline distT="0" distB="0" distL="0" distR="0" wp14:anchorId="0CAD13AF" wp14:editId="50C2122B">
          <wp:extent cx="1570038" cy="628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_POS_LOGO_BLUE_RGB.PNG"/>
                  <pic:cNvPicPr/>
                </pic:nvPicPr>
                <pic:blipFill>
                  <a:blip r:embed="rId1">
                    <a:extLst>
                      <a:ext uri="{28A0092B-C50C-407E-A947-70E740481C1C}">
                        <a14:useLocalDpi xmlns:a14="http://schemas.microsoft.com/office/drawing/2010/main" val="0"/>
                      </a:ext>
                    </a:extLst>
                  </a:blip>
                  <a:stretch>
                    <a:fillRect/>
                  </a:stretch>
                </pic:blipFill>
                <pic:spPr>
                  <a:xfrm>
                    <a:off x="0" y="0"/>
                    <a:ext cx="1574264" cy="6297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564AA" w14:textId="7C9333A6" w:rsidR="00AA08EA" w:rsidRDefault="00AA08EA" w:rsidP="00296B74">
    <w:pPr>
      <w:pStyle w:val="Header"/>
      <w:jc w:val="right"/>
    </w:pPr>
    <w:r>
      <w:rPr>
        <w:noProof/>
      </w:rPr>
      <w:drawing>
        <wp:inline distT="0" distB="0" distL="0" distR="0" wp14:anchorId="36317332" wp14:editId="221D23CD">
          <wp:extent cx="1570038" cy="6280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_POS_LOGO_BLUE_RGB.PNG"/>
                  <pic:cNvPicPr/>
                </pic:nvPicPr>
                <pic:blipFill>
                  <a:blip r:embed="rId1">
                    <a:extLst>
                      <a:ext uri="{28A0092B-C50C-407E-A947-70E740481C1C}">
                        <a14:useLocalDpi xmlns:a14="http://schemas.microsoft.com/office/drawing/2010/main" val="0"/>
                      </a:ext>
                    </a:extLst>
                  </a:blip>
                  <a:stretch>
                    <a:fillRect/>
                  </a:stretch>
                </pic:blipFill>
                <pic:spPr>
                  <a:xfrm>
                    <a:off x="0" y="0"/>
                    <a:ext cx="1574264" cy="629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03EA"/>
    <w:multiLevelType w:val="hybridMultilevel"/>
    <w:tmpl w:val="B5BC9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6106D6"/>
    <w:multiLevelType w:val="hybridMultilevel"/>
    <w:tmpl w:val="CD862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262DBE"/>
    <w:multiLevelType w:val="hybridMultilevel"/>
    <w:tmpl w:val="591E4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844AE8"/>
    <w:multiLevelType w:val="hybridMultilevel"/>
    <w:tmpl w:val="DDC200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49466A"/>
    <w:multiLevelType w:val="hybridMultilevel"/>
    <w:tmpl w:val="1EAE47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8E71A8"/>
    <w:multiLevelType w:val="hybridMultilevel"/>
    <w:tmpl w:val="38BC0A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D00410"/>
    <w:multiLevelType w:val="hybridMultilevel"/>
    <w:tmpl w:val="3552F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044E43"/>
    <w:multiLevelType w:val="hybridMultilevel"/>
    <w:tmpl w:val="40A6A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C22027"/>
    <w:multiLevelType w:val="hybridMultilevel"/>
    <w:tmpl w:val="453CA3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3F700D"/>
    <w:multiLevelType w:val="hybridMultilevel"/>
    <w:tmpl w:val="0114A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CA5A5A"/>
    <w:multiLevelType w:val="hybridMultilevel"/>
    <w:tmpl w:val="F99EE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5F4085"/>
    <w:multiLevelType w:val="hybridMultilevel"/>
    <w:tmpl w:val="CEE60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920C79"/>
    <w:multiLevelType w:val="hybridMultilevel"/>
    <w:tmpl w:val="59AEBA1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D06504A"/>
    <w:multiLevelType w:val="hybridMultilevel"/>
    <w:tmpl w:val="D9D6644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DA818A4"/>
    <w:multiLevelType w:val="hybridMultilevel"/>
    <w:tmpl w:val="485A2260"/>
    <w:lvl w:ilvl="0" w:tplc="3B601FCE">
      <w:start w:val="6"/>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27E35"/>
    <w:multiLevelType w:val="hybridMultilevel"/>
    <w:tmpl w:val="F6140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2D73A3"/>
    <w:multiLevelType w:val="hybridMultilevel"/>
    <w:tmpl w:val="2FAC2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E82EE4"/>
    <w:multiLevelType w:val="hybridMultilevel"/>
    <w:tmpl w:val="573270BC"/>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B071447"/>
    <w:multiLevelType w:val="hybridMultilevel"/>
    <w:tmpl w:val="03ECCE4C"/>
    <w:lvl w:ilvl="0" w:tplc="A85EC45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BA66FEC"/>
    <w:multiLevelType w:val="hybridMultilevel"/>
    <w:tmpl w:val="0BE24B78"/>
    <w:lvl w:ilvl="0" w:tplc="D76A84E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E320CF9"/>
    <w:multiLevelType w:val="hybridMultilevel"/>
    <w:tmpl w:val="CD5A7C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0BB58C9"/>
    <w:multiLevelType w:val="hybridMultilevel"/>
    <w:tmpl w:val="BD143084"/>
    <w:lvl w:ilvl="0" w:tplc="3C58793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1EE6169"/>
    <w:multiLevelType w:val="hybridMultilevel"/>
    <w:tmpl w:val="6C72E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20C5A5D"/>
    <w:multiLevelType w:val="multilevel"/>
    <w:tmpl w:val="6AA0EE30"/>
    <w:lvl w:ilvl="0">
      <w:start w:val="1"/>
      <w:numFmt w:val="decimal"/>
      <w:lvlText w:val="%1."/>
      <w:lvlJc w:val="left"/>
      <w:pPr>
        <w:ind w:left="360" w:hanging="360"/>
      </w:pPr>
    </w:lvl>
    <w:lvl w:ilvl="1">
      <w:start w:val="6"/>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256798D"/>
    <w:multiLevelType w:val="hybridMultilevel"/>
    <w:tmpl w:val="DBA83B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925348D"/>
    <w:multiLevelType w:val="hybridMultilevel"/>
    <w:tmpl w:val="315E60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B384952"/>
    <w:multiLevelType w:val="hybridMultilevel"/>
    <w:tmpl w:val="35821A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06C57BF"/>
    <w:multiLevelType w:val="hybridMultilevel"/>
    <w:tmpl w:val="219E1E8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910216"/>
    <w:multiLevelType w:val="hybridMultilevel"/>
    <w:tmpl w:val="93FEDC08"/>
    <w:lvl w:ilvl="0" w:tplc="C650813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A133D5"/>
    <w:multiLevelType w:val="hybridMultilevel"/>
    <w:tmpl w:val="62A25744"/>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30" w15:restartNumberingAfterBreak="0">
    <w:nsid w:val="691A54B8"/>
    <w:multiLevelType w:val="hybridMultilevel"/>
    <w:tmpl w:val="ACC4742C"/>
    <w:lvl w:ilvl="0" w:tplc="3490C340">
      <w:start w:val="1"/>
      <w:numFmt w:val="bullet"/>
      <w:lvlText w:val="•"/>
      <w:lvlJc w:val="left"/>
      <w:pPr>
        <w:tabs>
          <w:tab w:val="num" w:pos="720"/>
        </w:tabs>
        <w:ind w:left="720" w:hanging="360"/>
      </w:pPr>
      <w:rPr>
        <w:rFonts w:ascii="Arial" w:hAnsi="Arial" w:hint="default"/>
      </w:rPr>
    </w:lvl>
    <w:lvl w:ilvl="1" w:tplc="0FC0891C">
      <w:start w:val="256"/>
      <w:numFmt w:val="bullet"/>
      <w:lvlText w:val="–"/>
      <w:lvlJc w:val="left"/>
      <w:pPr>
        <w:tabs>
          <w:tab w:val="num" w:pos="1440"/>
        </w:tabs>
        <w:ind w:left="1440" w:hanging="360"/>
      </w:pPr>
      <w:rPr>
        <w:rFonts w:ascii="Arial" w:hAnsi="Arial" w:hint="default"/>
      </w:rPr>
    </w:lvl>
    <w:lvl w:ilvl="2" w:tplc="8E46BB7C" w:tentative="1">
      <w:start w:val="1"/>
      <w:numFmt w:val="bullet"/>
      <w:lvlText w:val="•"/>
      <w:lvlJc w:val="left"/>
      <w:pPr>
        <w:tabs>
          <w:tab w:val="num" w:pos="2160"/>
        </w:tabs>
        <w:ind w:left="2160" w:hanging="360"/>
      </w:pPr>
      <w:rPr>
        <w:rFonts w:ascii="Arial" w:hAnsi="Arial" w:hint="default"/>
      </w:rPr>
    </w:lvl>
    <w:lvl w:ilvl="3" w:tplc="2110D6AA" w:tentative="1">
      <w:start w:val="1"/>
      <w:numFmt w:val="bullet"/>
      <w:lvlText w:val="•"/>
      <w:lvlJc w:val="left"/>
      <w:pPr>
        <w:tabs>
          <w:tab w:val="num" w:pos="2880"/>
        </w:tabs>
        <w:ind w:left="2880" w:hanging="360"/>
      </w:pPr>
      <w:rPr>
        <w:rFonts w:ascii="Arial" w:hAnsi="Arial" w:hint="default"/>
      </w:rPr>
    </w:lvl>
    <w:lvl w:ilvl="4" w:tplc="EF4E0AAC" w:tentative="1">
      <w:start w:val="1"/>
      <w:numFmt w:val="bullet"/>
      <w:lvlText w:val="•"/>
      <w:lvlJc w:val="left"/>
      <w:pPr>
        <w:tabs>
          <w:tab w:val="num" w:pos="3600"/>
        </w:tabs>
        <w:ind w:left="3600" w:hanging="360"/>
      </w:pPr>
      <w:rPr>
        <w:rFonts w:ascii="Arial" w:hAnsi="Arial" w:hint="default"/>
      </w:rPr>
    </w:lvl>
    <w:lvl w:ilvl="5" w:tplc="C66CA53E" w:tentative="1">
      <w:start w:val="1"/>
      <w:numFmt w:val="bullet"/>
      <w:lvlText w:val="•"/>
      <w:lvlJc w:val="left"/>
      <w:pPr>
        <w:tabs>
          <w:tab w:val="num" w:pos="4320"/>
        </w:tabs>
        <w:ind w:left="4320" w:hanging="360"/>
      </w:pPr>
      <w:rPr>
        <w:rFonts w:ascii="Arial" w:hAnsi="Arial" w:hint="default"/>
      </w:rPr>
    </w:lvl>
    <w:lvl w:ilvl="6" w:tplc="A508CCCE" w:tentative="1">
      <w:start w:val="1"/>
      <w:numFmt w:val="bullet"/>
      <w:lvlText w:val="•"/>
      <w:lvlJc w:val="left"/>
      <w:pPr>
        <w:tabs>
          <w:tab w:val="num" w:pos="5040"/>
        </w:tabs>
        <w:ind w:left="5040" w:hanging="360"/>
      </w:pPr>
      <w:rPr>
        <w:rFonts w:ascii="Arial" w:hAnsi="Arial" w:hint="default"/>
      </w:rPr>
    </w:lvl>
    <w:lvl w:ilvl="7" w:tplc="A2901052" w:tentative="1">
      <w:start w:val="1"/>
      <w:numFmt w:val="bullet"/>
      <w:lvlText w:val="•"/>
      <w:lvlJc w:val="left"/>
      <w:pPr>
        <w:tabs>
          <w:tab w:val="num" w:pos="5760"/>
        </w:tabs>
        <w:ind w:left="5760" w:hanging="360"/>
      </w:pPr>
      <w:rPr>
        <w:rFonts w:ascii="Arial" w:hAnsi="Arial" w:hint="default"/>
      </w:rPr>
    </w:lvl>
    <w:lvl w:ilvl="8" w:tplc="7AD0062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08237B"/>
    <w:multiLevelType w:val="hybridMultilevel"/>
    <w:tmpl w:val="C52A7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05129CB"/>
    <w:multiLevelType w:val="hybridMultilevel"/>
    <w:tmpl w:val="2C38C1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65C032E"/>
    <w:multiLevelType w:val="hybridMultilevel"/>
    <w:tmpl w:val="61706880"/>
    <w:lvl w:ilvl="0" w:tplc="22CAFA54">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B0F3D39"/>
    <w:multiLevelType w:val="hybridMultilevel"/>
    <w:tmpl w:val="E356E7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BE54D2A"/>
    <w:multiLevelType w:val="hybridMultilevel"/>
    <w:tmpl w:val="246A647A"/>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E653D19"/>
    <w:multiLevelType w:val="hybridMultilevel"/>
    <w:tmpl w:val="3084C43C"/>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F361676"/>
    <w:multiLevelType w:val="hybridMultilevel"/>
    <w:tmpl w:val="265285E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32"/>
  </w:num>
  <w:num w:numId="3">
    <w:abstractNumId w:val="16"/>
  </w:num>
  <w:num w:numId="4">
    <w:abstractNumId w:val="6"/>
  </w:num>
  <w:num w:numId="5">
    <w:abstractNumId w:val="4"/>
  </w:num>
  <w:num w:numId="6">
    <w:abstractNumId w:val="5"/>
  </w:num>
  <w:num w:numId="7">
    <w:abstractNumId w:val="9"/>
  </w:num>
  <w:num w:numId="8">
    <w:abstractNumId w:val="7"/>
  </w:num>
  <w:num w:numId="9">
    <w:abstractNumId w:val="36"/>
  </w:num>
  <w:num w:numId="10">
    <w:abstractNumId w:val="28"/>
  </w:num>
  <w:num w:numId="11">
    <w:abstractNumId w:val="17"/>
  </w:num>
  <w:num w:numId="12">
    <w:abstractNumId w:val="13"/>
  </w:num>
  <w:num w:numId="13">
    <w:abstractNumId w:val="35"/>
  </w:num>
  <w:num w:numId="14">
    <w:abstractNumId w:val="15"/>
  </w:num>
  <w:num w:numId="15">
    <w:abstractNumId w:val="31"/>
  </w:num>
  <w:num w:numId="16">
    <w:abstractNumId w:val="27"/>
  </w:num>
  <w:num w:numId="17">
    <w:abstractNumId w:val="30"/>
  </w:num>
  <w:num w:numId="18">
    <w:abstractNumId w:val="24"/>
  </w:num>
  <w:num w:numId="19">
    <w:abstractNumId w:val="3"/>
  </w:num>
  <w:num w:numId="20">
    <w:abstractNumId w:val="34"/>
  </w:num>
  <w:num w:numId="21">
    <w:abstractNumId w:val="22"/>
  </w:num>
  <w:num w:numId="22">
    <w:abstractNumId w:val="25"/>
  </w:num>
  <w:num w:numId="23">
    <w:abstractNumId w:val="20"/>
  </w:num>
  <w:num w:numId="24">
    <w:abstractNumId w:val="0"/>
  </w:num>
  <w:num w:numId="25">
    <w:abstractNumId w:val="1"/>
  </w:num>
  <w:num w:numId="26">
    <w:abstractNumId w:val="8"/>
  </w:num>
  <w:num w:numId="27">
    <w:abstractNumId w:val="37"/>
  </w:num>
  <w:num w:numId="28">
    <w:abstractNumId w:val="12"/>
  </w:num>
  <w:num w:numId="29">
    <w:abstractNumId w:val="23"/>
  </w:num>
  <w:num w:numId="30">
    <w:abstractNumId w:val="10"/>
  </w:num>
  <w:num w:numId="31">
    <w:abstractNumId w:val="29"/>
  </w:num>
  <w:num w:numId="32">
    <w:abstractNumId w:val="18"/>
  </w:num>
  <w:num w:numId="33">
    <w:abstractNumId w:val="21"/>
  </w:num>
  <w:num w:numId="34">
    <w:abstractNumId w:val="14"/>
  </w:num>
  <w:num w:numId="35">
    <w:abstractNumId w:val="33"/>
  </w:num>
  <w:num w:numId="36">
    <w:abstractNumId w:val="19"/>
  </w:num>
  <w:num w:numId="37">
    <w:abstractNumId w:val="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A9"/>
    <w:rsid w:val="000043AD"/>
    <w:rsid w:val="0001024A"/>
    <w:rsid w:val="00010454"/>
    <w:rsid w:val="00013415"/>
    <w:rsid w:val="0001689D"/>
    <w:rsid w:val="000213B1"/>
    <w:rsid w:val="00033EDF"/>
    <w:rsid w:val="000510BA"/>
    <w:rsid w:val="000571D8"/>
    <w:rsid w:val="00057B55"/>
    <w:rsid w:val="00061586"/>
    <w:rsid w:val="0006336C"/>
    <w:rsid w:val="00065B41"/>
    <w:rsid w:val="000757CE"/>
    <w:rsid w:val="00076198"/>
    <w:rsid w:val="00077972"/>
    <w:rsid w:val="00084B36"/>
    <w:rsid w:val="000867BD"/>
    <w:rsid w:val="00090064"/>
    <w:rsid w:val="00097252"/>
    <w:rsid w:val="000A0119"/>
    <w:rsid w:val="000A1578"/>
    <w:rsid w:val="000A427F"/>
    <w:rsid w:val="000A6D78"/>
    <w:rsid w:val="000B1204"/>
    <w:rsid w:val="000B2217"/>
    <w:rsid w:val="000C4B35"/>
    <w:rsid w:val="000C5CD5"/>
    <w:rsid w:val="000C68CD"/>
    <w:rsid w:val="000D2660"/>
    <w:rsid w:val="000D2F17"/>
    <w:rsid w:val="000D4C6E"/>
    <w:rsid w:val="000E037D"/>
    <w:rsid w:val="000E0A88"/>
    <w:rsid w:val="000E7029"/>
    <w:rsid w:val="000F7E4D"/>
    <w:rsid w:val="001013ED"/>
    <w:rsid w:val="00101919"/>
    <w:rsid w:val="00106436"/>
    <w:rsid w:val="00106D89"/>
    <w:rsid w:val="0010788E"/>
    <w:rsid w:val="0011091F"/>
    <w:rsid w:val="00113F37"/>
    <w:rsid w:val="001146DF"/>
    <w:rsid w:val="00116F84"/>
    <w:rsid w:val="00121B36"/>
    <w:rsid w:val="001336C9"/>
    <w:rsid w:val="00137A91"/>
    <w:rsid w:val="00142096"/>
    <w:rsid w:val="00142A65"/>
    <w:rsid w:val="00142CBB"/>
    <w:rsid w:val="00144403"/>
    <w:rsid w:val="00144AFB"/>
    <w:rsid w:val="0015526B"/>
    <w:rsid w:val="00161380"/>
    <w:rsid w:val="001626E2"/>
    <w:rsid w:val="001627FB"/>
    <w:rsid w:val="00163FEB"/>
    <w:rsid w:val="001678F6"/>
    <w:rsid w:val="00172D4C"/>
    <w:rsid w:val="00184476"/>
    <w:rsid w:val="00190C27"/>
    <w:rsid w:val="00195AA3"/>
    <w:rsid w:val="001A2E8C"/>
    <w:rsid w:val="001A40B2"/>
    <w:rsid w:val="001B3D62"/>
    <w:rsid w:val="001B4310"/>
    <w:rsid w:val="001B48FD"/>
    <w:rsid w:val="001B5BC4"/>
    <w:rsid w:val="001B784C"/>
    <w:rsid w:val="001B7AE9"/>
    <w:rsid w:val="001C3764"/>
    <w:rsid w:val="001C37B4"/>
    <w:rsid w:val="001D0B5B"/>
    <w:rsid w:val="001D277F"/>
    <w:rsid w:val="001D2E17"/>
    <w:rsid w:val="001D4ACC"/>
    <w:rsid w:val="001E67D6"/>
    <w:rsid w:val="001F05C6"/>
    <w:rsid w:val="001F129E"/>
    <w:rsid w:val="001F5AB2"/>
    <w:rsid w:val="001F6A97"/>
    <w:rsid w:val="001F6F47"/>
    <w:rsid w:val="0020640E"/>
    <w:rsid w:val="0020704E"/>
    <w:rsid w:val="002070B3"/>
    <w:rsid w:val="0022108A"/>
    <w:rsid w:val="00224739"/>
    <w:rsid w:val="00225BE4"/>
    <w:rsid w:val="00227019"/>
    <w:rsid w:val="00227679"/>
    <w:rsid w:val="002320C0"/>
    <w:rsid w:val="002341D0"/>
    <w:rsid w:val="002371BC"/>
    <w:rsid w:val="00242205"/>
    <w:rsid w:val="00243DC6"/>
    <w:rsid w:val="00247151"/>
    <w:rsid w:val="00253078"/>
    <w:rsid w:val="002577C5"/>
    <w:rsid w:val="00264857"/>
    <w:rsid w:val="002703DE"/>
    <w:rsid w:val="00274661"/>
    <w:rsid w:val="00275D75"/>
    <w:rsid w:val="00276F5D"/>
    <w:rsid w:val="00281691"/>
    <w:rsid w:val="00290B36"/>
    <w:rsid w:val="00293760"/>
    <w:rsid w:val="00295693"/>
    <w:rsid w:val="00296B74"/>
    <w:rsid w:val="002A2CB5"/>
    <w:rsid w:val="002A5326"/>
    <w:rsid w:val="002A59B9"/>
    <w:rsid w:val="002A628B"/>
    <w:rsid w:val="002A704D"/>
    <w:rsid w:val="002A7665"/>
    <w:rsid w:val="002B61C2"/>
    <w:rsid w:val="002C6966"/>
    <w:rsid w:val="002C770F"/>
    <w:rsid w:val="002D0D10"/>
    <w:rsid w:val="002D21BE"/>
    <w:rsid w:val="002E1757"/>
    <w:rsid w:val="002E1FA9"/>
    <w:rsid w:val="002E4FA7"/>
    <w:rsid w:val="002E5AE3"/>
    <w:rsid w:val="002E6FF6"/>
    <w:rsid w:val="002F39E5"/>
    <w:rsid w:val="002F6744"/>
    <w:rsid w:val="0030041C"/>
    <w:rsid w:val="003010B4"/>
    <w:rsid w:val="0030157D"/>
    <w:rsid w:val="00303B10"/>
    <w:rsid w:val="00311FD1"/>
    <w:rsid w:val="00317E3A"/>
    <w:rsid w:val="00317F1F"/>
    <w:rsid w:val="00323A48"/>
    <w:rsid w:val="00333B23"/>
    <w:rsid w:val="003344B2"/>
    <w:rsid w:val="00336826"/>
    <w:rsid w:val="003408FC"/>
    <w:rsid w:val="003421C8"/>
    <w:rsid w:val="00347D7E"/>
    <w:rsid w:val="00363DC9"/>
    <w:rsid w:val="0036413B"/>
    <w:rsid w:val="00372557"/>
    <w:rsid w:val="003736EC"/>
    <w:rsid w:val="00375923"/>
    <w:rsid w:val="00375EF8"/>
    <w:rsid w:val="00381A90"/>
    <w:rsid w:val="0038359D"/>
    <w:rsid w:val="0038420F"/>
    <w:rsid w:val="00393936"/>
    <w:rsid w:val="003A17E3"/>
    <w:rsid w:val="003A49D4"/>
    <w:rsid w:val="003A7CAD"/>
    <w:rsid w:val="003B46D2"/>
    <w:rsid w:val="003B7B8B"/>
    <w:rsid w:val="003C5872"/>
    <w:rsid w:val="003D1E6A"/>
    <w:rsid w:val="003D2891"/>
    <w:rsid w:val="003D7139"/>
    <w:rsid w:val="003E36A2"/>
    <w:rsid w:val="003E48EC"/>
    <w:rsid w:val="003F3A56"/>
    <w:rsid w:val="003F461C"/>
    <w:rsid w:val="00404C1A"/>
    <w:rsid w:val="004070EA"/>
    <w:rsid w:val="004071A1"/>
    <w:rsid w:val="00411D69"/>
    <w:rsid w:val="00414879"/>
    <w:rsid w:val="00414ABB"/>
    <w:rsid w:val="004211B0"/>
    <w:rsid w:val="00427614"/>
    <w:rsid w:val="00442480"/>
    <w:rsid w:val="004429FD"/>
    <w:rsid w:val="00444630"/>
    <w:rsid w:val="004525AC"/>
    <w:rsid w:val="00456057"/>
    <w:rsid w:val="00463349"/>
    <w:rsid w:val="0046583A"/>
    <w:rsid w:val="00467840"/>
    <w:rsid w:val="004822A7"/>
    <w:rsid w:val="00487378"/>
    <w:rsid w:val="00490CE5"/>
    <w:rsid w:val="00490FBD"/>
    <w:rsid w:val="00495753"/>
    <w:rsid w:val="00496F6F"/>
    <w:rsid w:val="004A2238"/>
    <w:rsid w:val="004A2F4D"/>
    <w:rsid w:val="004A392D"/>
    <w:rsid w:val="004A462D"/>
    <w:rsid w:val="004A643C"/>
    <w:rsid w:val="004A74AD"/>
    <w:rsid w:val="004B347D"/>
    <w:rsid w:val="004B5762"/>
    <w:rsid w:val="004B5EDC"/>
    <w:rsid w:val="004B69F7"/>
    <w:rsid w:val="004C38FD"/>
    <w:rsid w:val="004C7354"/>
    <w:rsid w:val="004D5241"/>
    <w:rsid w:val="004D632F"/>
    <w:rsid w:val="004E2A1B"/>
    <w:rsid w:val="004E5745"/>
    <w:rsid w:val="004F1B03"/>
    <w:rsid w:val="004F20C3"/>
    <w:rsid w:val="004F402E"/>
    <w:rsid w:val="00500A10"/>
    <w:rsid w:val="00501ED7"/>
    <w:rsid w:val="0050368C"/>
    <w:rsid w:val="00504777"/>
    <w:rsid w:val="0050783C"/>
    <w:rsid w:val="00515A47"/>
    <w:rsid w:val="00516918"/>
    <w:rsid w:val="00516B92"/>
    <w:rsid w:val="00520F58"/>
    <w:rsid w:val="0052207D"/>
    <w:rsid w:val="00523335"/>
    <w:rsid w:val="005277A3"/>
    <w:rsid w:val="00527D34"/>
    <w:rsid w:val="0053040D"/>
    <w:rsid w:val="0053296D"/>
    <w:rsid w:val="00534886"/>
    <w:rsid w:val="00541276"/>
    <w:rsid w:val="005472F4"/>
    <w:rsid w:val="00547EE9"/>
    <w:rsid w:val="00557D4F"/>
    <w:rsid w:val="00560273"/>
    <w:rsid w:val="005608CC"/>
    <w:rsid w:val="005648B9"/>
    <w:rsid w:val="0056507F"/>
    <w:rsid w:val="00565BEB"/>
    <w:rsid w:val="0057401A"/>
    <w:rsid w:val="0057735C"/>
    <w:rsid w:val="00584C61"/>
    <w:rsid w:val="00591EAC"/>
    <w:rsid w:val="00593B9C"/>
    <w:rsid w:val="00593CC1"/>
    <w:rsid w:val="00593FE4"/>
    <w:rsid w:val="005A0187"/>
    <w:rsid w:val="005A25C1"/>
    <w:rsid w:val="005A6B10"/>
    <w:rsid w:val="005B577D"/>
    <w:rsid w:val="005C1558"/>
    <w:rsid w:val="005C34C7"/>
    <w:rsid w:val="005C5CCF"/>
    <w:rsid w:val="005D5D8F"/>
    <w:rsid w:val="005E08B7"/>
    <w:rsid w:val="005E7616"/>
    <w:rsid w:val="005F1972"/>
    <w:rsid w:val="005F35D7"/>
    <w:rsid w:val="005F3EEE"/>
    <w:rsid w:val="005F718B"/>
    <w:rsid w:val="006059C9"/>
    <w:rsid w:val="006064F5"/>
    <w:rsid w:val="00606A01"/>
    <w:rsid w:val="00615A64"/>
    <w:rsid w:val="00624B02"/>
    <w:rsid w:val="00625E21"/>
    <w:rsid w:val="00626425"/>
    <w:rsid w:val="00630855"/>
    <w:rsid w:val="00632642"/>
    <w:rsid w:val="0063459E"/>
    <w:rsid w:val="006359B9"/>
    <w:rsid w:val="00635DE4"/>
    <w:rsid w:val="00635F6B"/>
    <w:rsid w:val="00647529"/>
    <w:rsid w:val="0065087B"/>
    <w:rsid w:val="00655AFD"/>
    <w:rsid w:val="00657935"/>
    <w:rsid w:val="00671ACE"/>
    <w:rsid w:val="00673686"/>
    <w:rsid w:val="006762AF"/>
    <w:rsid w:val="006849E7"/>
    <w:rsid w:val="006862B9"/>
    <w:rsid w:val="00691189"/>
    <w:rsid w:val="00691AD5"/>
    <w:rsid w:val="00694337"/>
    <w:rsid w:val="006943CF"/>
    <w:rsid w:val="00695E04"/>
    <w:rsid w:val="006A58E0"/>
    <w:rsid w:val="006A7AF8"/>
    <w:rsid w:val="006B0187"/>
    <w:rsid w:val="006B46EF"/>
    <w:rsid w:val="006B7A9E"/>
    <w:rsid w:val="006C338F"/>
    <w:rsid w:val="006C3C47"/>
    <w:rsid w:val="006C7751"/>
    <w:rsid w:val="006D0FE3"/>
    <w:rsid w:val="006D2DE0"/>
    <w:rsid w:val="006D72AA"/>
    <w:rsid w:val="006E02C5"/>
    <w:rsid w:val="006E4BF6"/>
    <w:rsid w:val="006E6149"/>
    <w:rsid w:val="00702A8F"/>
    <w:rsid w:val="00707466"/>
    <w:rsid w:val="00715BF3"/>
    <w:rsid w:val="00717CFF"/>
    <w:rsid w:val="007218E7"/>
    <w:rsid w:val="00723530"/>
    <w:rsid w:val="00724002"/>
    <w:rsid w:val="00727848"/>
    <w:rsid w:val="0073307B"/>
    <w:rsid w:val="00734696"/>
    <w:rsid w:val="007350F5"/>
    <w:rsid w:val="00742588"/>
    <w:rsid w:val="00745938"/>
    <w:rsid w:val="00750107"/>
    <w:rsid w:val="00750CEE"/>
    <w:rsid w:val="00750DE0"/>
    <w:rsid w:val="007515D0"/>
    <w:rsid w:val="00767151"/>
    <w:rsid w:val="00770119"/>
    <w:rsid w:val="007707B1"/>
    <w:rsid w:val="00785993"/>
    <w:rsid w:val="00790E43"/>
    <w:rsid w:val="00793CA0"/>
    <w:rsid w:val="00793E33"/>
    <w:rsid w:val="00794C32"/>
    <w:rsid w:val="007A48EC"/>
    <w:rsid w:val="007A4F25"/>
    <w:rsid w:val="007A6F0F"/>
    <w:rsid w:val="007B0AB3"/>
    <w:rsid w:val="007B0E2E"/>
    <w:rsid w:val="007B1DA8"/>
    <w:rsid w:val="007B4674"/>
    <w:rsid w:val="007B57EC"/>
    <w:rsid w:val="007C0EB6"/>
    <w:rsid w:val="007C44F6"/>
    <w:rsid w:val="007C58CC"/>
    <w:rsid w:val="007D6DDD"/>
    <w:rsid w:val="007E5A8C"/>
    <w:rsid w:val="007F2A09"/>
    <w:rsid w:val="00804405"/>
    <w:rsid w:val="00806775"/>
    <w:rsid w:val="008118A1"/>
    <w:rsid w:val="00814828"/>
    <w:rsid w:val="00816F13"/>
    <w:rsid w:val="0081762C"/>
    <w:rsid w:val="008220B3"/>
    <w:rsid w:val="008246FB"/>
    <w:rsid w:val="008258FB"/>
    <w:rsid w:val="00830C84"/>
    <w:rsid w:val="0084029B"/>
    <w:rsid w:val="00844317"/>
    <w:rsid w:val="008461E1"/>
    <w:rsid w:val="00846784"/>
    <w:rsid w:val="00850521"/>
    <w:rsid w:val="00854426"/>
    <w:rsid w:val="00854438"/>
    <w:rsid w:val="00855145"/>
    <w:rsid w:val="008558F7"/>
    <w:rsid w:val="00862614"/>
    <w:rsid w:val="0087376F"/>
    <w:rsid w:val="00873ABC"/>
    <w:rsid w:val="00875C0B"/>
    <w:rsid w:val="00876E17"/>
    <w:rsid w:val="00885278"/>
    <w:rsid w:val="00887967"/>
    <w:rsid w:val="008914F4"/>
    <w:rsid w:val="00892C0E"/>
    <w:rsid w:val="00894F2E"/>
    <w:rsid w:val="008A545E"/>
    <w:rsid w:val="008B3C4F"/>
    <w:rsid w:val="008B61EA"/>
    <w:rsid w:val="008B6CF1"/>
    <w:rsid w:val="008C3F5B"/>
    <w:rsid w:val="008C476E"/>
    <w:rsid w:val="008C5A47"/>
    <w:rsid w:val="008D0254"/>
    <w:rsid w:val="008D3A53"/>
    <w:rsid w:val="008E571F"/>
    <w:rsid w:val="008E589C"/>
    <w:rsid w:val="008E7684"/>
    <w:rsid w:val="008F0084"/>
    <w:rsid w:val="008F4279"/>
    <w:rsid w:val="0090030C"/>
    <w:rsid w:val="0090183A"/>
    <w:rsid w:val="0090595B"/>
    <w:rsid w:val="00910607"/>
    <w:rsid w:val="00912EB6"/>
    <w:rsid w:val="0091361C"/>
    <w:rsid w:val="00915BEB"/>
    <w:rsid w:val="009224E1"/>
    <w:rsid w:val="00923B2D"/>
    <w:rsid w:val="009258D4"/>
    <w:rsid w:val="00931B4B"/>
    <w:rsid w:val="00937F10"/>
    <w:rsid w:val="009516BD"/>
    <w:rsid w:val="009521A3"/>
    <w:rsid w:val="009578B6"/>
    <w:rsid w:val="00971319"/>
    <w:rsid w:val="00971858"/>
    <w:rsid w:val="0097206F"/>
    <w:rsid w:val="00972CB9"/>
    <w:rsid w:val="00976CB2"/>
    <w:rsid w:val="0098092D"/>
    <w:rsid w:val="009904B3"/>
    <w:rsid w:val="00992F1F"/>
    <w:rsid w:val="0099436B"/>
    <w:rsid w:val="009A0E87"/>
    <w:rsid w:val="009A19A3"/>
    <w:rsid w:val="009A2580"/>
    <w:rsid w:val="009A4085"/>
    <w:rsid w:val="009A4B8D"/>
    <w:rsid w:val="009B1D63"/>
    <w:rsid w:val="009B2B52"/>
    <w:rsid w:val="009B4541"/>
    <w:rsid w:val="009B5A6E"/>
    <w:rsid w:val="009B65DE"/>
    <w:rsid w:val="009C1BD9"/>
    <w:rsid w:val="009C22FB"/>
    <w:rsid w:val="009C4D27"/>
    <w:rsid w:val="009D28F1"/>
    <w:rsid w:val="009D3FFB"/>
    <w:rsid w:val="009D4B99"/>
    <w:rsid w:val="009E79D1"/>
    <w:rsid w:val="009F3BDD"/>
    <w:rsid w:val="009F3BE4"/>
    <w:rsid w:val="00A03C1E"/>
    <w:rsid w:val="00A04016"/>
    <w:rsid w:val="00A04293"/>
    <w:rsid w:val="00A04843"/>
    <w:rsid w:val="00A05794"/>
    <w:rsid w:val="00A111C2"/>
    <w:rsid w:val="00A15268"/>
    <w:rsid w:val="00A15481"/>
    <w:rsid w:val="00A1687B"/>
    <w:rsid w:val="00A172B5"/>
    <w:rsid w:val="00A223EC"/>
    <w:rsid w:val="00A30055"/>
    <w:rsid w:val="00A313CB"/>
    <w:rsid w:val="00A34846"/>
    <w:rsid w:val="00A43944"/>
    <w:rsid w:val="00A45D6A"/>
    <w:rsid w:val="00A4736E"/>
    <w:rsid w:val="00A50C9C"/>
    <w:rsid w:val="00A534D0"/>
    <w:rsid w:val="00A539B2"/>
    <w:rsid w:val="00A60598"/>
    <w:rsid w:val="00A61308"/>
    <w:rsid w:val="00A66D74"/>
    <w:rsid w:val="00A71570"/>
    <w:rsid w:val="00A7473B"/>
    <w:rsid w:val="00A760C0"/>
    <w:rsid w:val="00A76C71"/>
    <w:rsid w:val="00A83549"/>
    <w:rsid w:val="00A86A45"/>
    <w:rsid w:val="00A963FC"/>
    <w:rsid w:val="00A97671"/>
    <w:rsid w:val="00AA08EA"/>
    <w:rsid w:val="00AA690E"/>
    <w:rsid w:val="00AB2D6F"/>
    <w:rsid w:val="00AC050C"/>
    <w:rsid w:val="00AC24E9"/>
    <w:rsid w:val="00AC78DF"/>
    <w:rsid w:val="00AD0FEF"/>
    <w:rsid w:val="00AD2543"/>
    <w:rsid w:val="00AD71CE"/>
    <w:rsid w:val="00AE1291"/>
    <w:rsid w:val="00AE1303"/>
    <w:rsid w:val="00AF37E2"/>
    <w:rsid w:val="00AF4748"/>
    <w:rsid w:val="00B034C4"/>
    <w:rsid w:val="00B047F7"/>
    <w:rsid w:val="00B145AE"/>
    <w:rsid w:val="00B15D82"/>
    <w:rsid w:val="00B2233A"/>
    <w:rsid w:val="00B3458F"/>
    <w:rsid w:val="00B347C0"/>
    <w:rsid w:val="00B3575B"/>
    <w:rsid w:val="00B37303"/>
    <w:rsid w:val="00B378BB"/>
    <w:rsid w:val="00B443EA"/>
    <w:rsid w:val="00B50243"/>
    <w:rsid w:val="00B623C0"/>
    <w:rsid w:val="00B65CCE"/>
    <w:rsid w:val="00B74C0C"/>
    <w:rsid w:val="00B81CDF"/>
    <w:rsid w:val="00B84162"/>
    <w:rsid w:val="00B86C82"/>
    <w:rsid w:val="00B9294D"/>
    <w:rsid w:val="00B93223"/>
    <w:rsid w:val="00B94582"/>
    <w:rsid w:val="00BA1E6C"/>
    <w:rsid w:val="00BA6122"/>
    <w:rsid w:val="00BB02A1"/>
    <w:rsid w:val="00BB0E6B"/>
    <w:rsid w:val="00BC2818"/>
    <w:rsid w:val="00BC3A12"/>
    <w:rsid w:val="00BD0167"/>
    <w:rsid w:val="00BD754D"/>
    <w:rsid w:val="00BE25AC"/>
    <w:rsid w:val="00BE274F"/>
    <w:rsid w:val="00BE3376"/>
    <w:rsid w:val="00BF08A7"/>
    <w:rsid w:val="00BF17AD"/>
    <w:rsid w:val="00C029AC"/>
    <w:rsid w:val="00C03F41"/>
    <w:rsid w:val="00C0430B"/>
    <w:rsid w:val="00C2269C"/>
    <w:rsid w:val="00C22D3A"/>
    <w:rsid w:val="00C23129"/>
    <w:rsid w:val="00C24001"/>
    <w:rsid w:val="00C24A4D"/>
    <w:rsid w:val="00C3148B"/>
    <w:rsid w:val="00C31EEB"/>
    <w:rsid w:val="00C442F5"/>
    <w:rsid w:val="00C46362"/>
    <w:rsid w:val="00C60D6A"/>
    <w:rsid w:val="00C639D2"/>
    <w:rsid w:val="00C63C43"/>
    <w:rsid w:val="00C75844"/>
    <w:rsid w:val="00C77773"/>
    <w:rsid w:val="00C8739F"/>
    <w:rsid w:val="00C93AB7"/>
    <w:rsid w:val="00C948FB"/>
    <w:rsid w:val="00C9616C"/>
    <w:rsid w:val="00C978EA"/>
    <w:rsid w:val="00CA2BA0"/>
    <w:rsid w:val="00CA67DA"/>
    <w:rsid w:val="00CC034D"/>
    <w:rsid w:val="00CC0562"/>
    <w:rsid w:val="00CC5DA9"/>
    <w:rsid w:val="00CD1E3D"/>
    <w:rsid w:val="00CD70BD"/>
    <w:rsid w:val="00CE2B72"/>
    <w:rsid w:val="00CE41CB"/>
    <w:rsid w:val="00CE7744"/>
    <w:rsid w:val="00CE7B01"/>
    <w:rsid w:val="00CF0BC3"/>
    <w:rsid w:val="00D016B9"/>
    <w:rsid w:val="00D035A4"/>
    <w:rsid w:val="00D0416B"/>
    <w:rsid w:val="00D11C15"/>
    <w:rsid w:val="00D139E3"/>
    <w:rsid w:val="00D17AC2"/>
    <w:rsid w:val="00D21A04"/>
    <w:rsid w:val="00D22E9B"/>
    <w:rsid w:val="00D34BDC"/>
    <w:rsid w:val="00D44FA6"/>
    <w:rsid w:val="00D47483"/>
    <w:rsid w:val="00D51C36"/>
    <w:rsid w:val="00D52BEB"/>
    <w:rsid w:val="00D55F7E"/>
    <w:rsid w:val="00D57E7D"/>
    <w:rsid w:val="00D63662"/>
    <w:rsid w:val="00D66394"/>
    <w:rsid w:val="00D81E50"/>
    <w:rsid w:val="00D83F89"/>
    <w:rsid w:val="00D8487D"/>
    <w:rsid w:val="00D870D7"/>
    <w:rsid w:val="00D877BF"/>
    <w:rsid w:val="00D87BD9"/>
    <w:rsid w:val="00D901C3"/>
    <w:rsid w:val="00D905F7"/>
    <w:rsid w:val="00D9295D"/>
    <w:rsid w:val="00D930E6"/>
    <w:rsid w:val="00D937A5"/>
    <w:rsid w:val="00DA2DF1"/>
    <w:rsid w:val="00DB1954"/>
    <w:rsid w:val="00DB7922"/>
    <w:rsid w:val="00DB7A0C"/>
    <w:rsid w:val="00DC5F52"/>
    <w:rsid w:val="00DD4B47"/>
    <w:rsid w:val="00DE34C8"/>
    <w:rsid w:val="00DF1BA2"/>
    <w:rsid w:val="00DF4041"/>
    <w:rsid w:val="00DF4C05"/>
    <w:rsid w:val="00DF5A9E"/>
    <w:rsid w:val="00DF7644"/>
    <w:rsid w:val="00E014D7"/>
    <w:rsid w:val="00E01EEC"/>
    <w:rsid w:val="00E111EB"/>
    <w:rsid w:val="00E12ED0"/>
    <w:rsid w:val="00E15518"/>
    <w:rsid w:val="00E15676"/>
    <w:rsid w:val="00E1588A"/>
    <w:rsid w:val="00E204AF"/>
    <w:rsid w:val="00E2052B"/>
    <w:rsid w:val="00E21599"/>
    <w:rsid w:val="00E27737"/>
    <w:rsid w:val="00E2774F"/>
    <w:rsid w:val="00E33D02"/>
    <w:rsid w:val="00E411AD"/>
    <w:rsid w:val="00E50347"/>
    <w:rsid w:val="00E520CA"/>
    <w:rsid w:val="00E53EAB"/>
    <w:rsid w:val="00E623E7"/>
    <w:rsid w:val="00E6701E"/>
    <w:rsid w:val="00E672CC"/>
    <w:rsid w:val="00E67526"/>
    <w:rsid w:val="00E7216F"/>
    <w:rsid w:val="00E81AB9"/>
    <w:rsid w:val="00E83E64"/>
    <w:rsid w:val="00E90121"/>
    <w:rsid w:val="00E915EF"/>
    <w:rsid w:val="00EA134C"/>
    <w:rsid w:val="00EB3D08"/>
    <w:rsid w:val="00EB68FB"/>
    <w:rsid w:val="00EE3897"/>
    <w:rsid w:val="00EE7D24"/>
    <w:rsid w:val="00EF0189"/>
    <w:rsid w:val="00EF36C1"/>
    <w:rsid w:val="00EF4BBE"/>
    <w:rsid w:val="00EF7177"/>
    <w:rsid w:val="00EF7ABC"/>
    <w:rsid w:val="00F01BDB"/>
    <w:rsid w:val="00F0772B"/>
    <w:rsid w:val="00F07D3D"/>
    <w:rsid w:val="00F100A1"/>
    <w:rsid w:val="00F17B57"/>
    <w:rsid w:val="00F20EE2"/>
    <w:rsid w:val="00F21639"/>
    <w:rsid w:val="00F233BD"/>
    <w:rsid w:val="00F25BD6"/>
    <w:rsid w:val="00F30281"/>
    <w:rsid w:val="00F30BE3"/>
    <w:rsid w:val="00F3228B"/>
    <w:rsid w:val="00F33DBB"/>
    <w:rsid w:val="00F35DD0"/>
    <w:rsid w:val="00F42005"/>
    <w:rsid w:val="00F45C41"/>
    <w:rsid w:val="00F53A9B"/>
    <w:rsid w:val="00F541FC"/>
    <w:rsid w:val="00F56362"/>
    <w:rsid w:val="00F5760D"/>
    <w:rsid w:val="00F57B38"/>
    <w:rsid w:val="00F613D6"/>
    <w:rsid w:val="00F61F85"/>
    <w:rsid w:val="00F65504"/>
    <w:rsid w:val="00F6705E"/>
    <w:rsid w:val="00F72078"/>
    <w:rsid w:val="00F75C32"/>
    <w:rsid w:val="00F75E36"/>
    <w:rsid w:val="00F777FE"/>
    <w:rsid w:val="00F84668"/>
    <w:rsid w:val="00F85186"/>
    <w:rsid w:val="00F94B04"/>
    <w:rsid w:val="00FA2316"/>
    <w:rsid w:val="00FA3399"/>
    <w:rsid w:val="00FA3851"/>
    <w:rsid w:val="00FA3F01"/>
    <w:rsid w:val="00FA4FD5"/>
    <w:rsid w:val="00FA62DB"/>
    <w:rsid w:val="00FA78DE"/>
    <w:rsid w:val="00FB11EB"/>
    <w:rsid w:val="00FB1B66"/>
    <w:rsid w:val="00FB4145"/>
    <w:rsid w:val="00FB575F"/>
    <w:rsid w:val="00FB6D2D"/>
    <w:rsid w:val="00FC195F"/>
    <w:rsid w:val="00FD0D7A"/>
    <w:rsid w:val="00FD3FEE"/>
    <w:rsid w:val="00FD664D"/>
    <w:rsid w:val="00FD6FCC"/>
    <w:rsid w:val="00FE0DA9"/>
    <w:rsid w:val="00FE115F"/>
    <w:rsid w:val="00FE20AA"/>
    <w:rsid w:val="00FE2688"/>
    <w:rsid w:val="00FE363E"/>
    <w:rsid w:val="00FE37C0"/>
    <w:rsid w:val="00FF12FE"/>
    <w:rsid w:val="00FF52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46B1E"/>
  <w15:chartTrackingRefBased/>
  <w15:docId w15:val="{27217D80-0965-4361-B03C-F7F4B442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customStyle="1" w:styleId="Default">
    <w:name w:val="Default"/>
    <w:rsid w:val="00FE0DA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50DE0"/>
    <w:rPr>
      <w:color w:val="5F5F5F" w:themeColor="hyperlink"/>
      <w:u w:val="single"/>
    </w:rPr>
  </w:style>
  <w:style w:type="paragraph" w:styleId="FootnoteText">
    <w:name w:val="footnote text"/>
    <w:basedOn w:val="Normal"/>
    <w:link w:val="FootnoteTextChar"/>
    <w:uiPriority w:val="99"/>
    <w:semiHidden/>
    <w:unhideWhenUsed/>
    <w:rsid w:val="008D3A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A53"/>
    <w:rPr>
      <w:sz w:val="20"/>
      <w:szCs w:val="20"/>
    </w:rPr>
  </w:style>
  <w:style w:type="character" w:styleId="FootnoteReference">
    <w:name w:val="footnote reference"/>
    <w:basedOn w:val="DefaultParagraphFont"/>
    <w:uiPriority w:val="99"/>
    <w:semiHidden/>
    <w:unhideWhenUsed/>
    <w:rsid w:val="008D3A53"/>
    <w:rPr>
      <w:vertAlign w:val="superscript"/>
    </w:rPr>
  </w:style>
  <w:style w:type="table" w:styleId="TableGrid">
    <w:name w:val="Table Grid"/>
    <w:basedOn w:val="TableNormal"/>
    <w:uiPriority w:val="59"/>
    <w:rsid w:val="00862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F37E2"/>
    <w:pPr>
      <w:tabs>
        <w:tab w:val="left" w:pos="480"/>
        <w:tab w:val="right" w:leader="dot" w:pos="9350"/>
      </w:tabs>
      <w:spacing w:after="100"/>
    </w:pPr>
  </w:style>
  <w:style w:type="paragraph" w:styleId="TOC2">
    <w:name w:val="toc 2"/>
    <w:basedOn w:val="Normal"/>
    <w:next w:val="Normal"/>
    <w:autoRedefine/>
    <w:uiPriority w:val="39"/>
    <w:unhideWhenUsed/>
    <w:rsid w:val="00635F6B"/>
    <w:pPr>
      <w:tabs>
        <w:tab w:val="right" w:leader="dot" w:pos="9350"/>
      </w:tabs>
      <w:spacing w:after="100"/>
      <w:ind w:left="240"/>
    </w:pPr>
  </w:style>
  <w:style w:type="character" w:styleId="CommentReference">
    <w:name w:val="annotation reference"/>
    <w:basedOn w:val="DefaultParagraphFont"/>
    <w:uiPriority w:val="99"/>
    <w:semiHidden/>
    <w:unhideWhenUsed/>
    <w:rsid w:val="00065B41"/>
    <w:rPr>
      <w:sz w:val="16"/>
      <w:szCs w:val="16"/>
    </w:rPr>
  </w:style>
  <w:style w:type="paragraph" w:styleId="CommentText">
    <w:name w:val="annotation text"/>
    <w:basedOn w:val="Normal"/>
    <w:link w:val="CommentTextChar"/>
    <w:uiPriority w:val="99"/>
    <w:unhideWhenUsed/>
    <w:rsid w:val="00065B41"/>
    <w:pPr>
      <w:spacing w:line="240" w:lineRule="auto"/>
    </w:pPr>
    <w:rPr>
      <w:sz w:val="20"/>
      <w:szCs w:val="20"/>
    </w:rPr>
  </w:style>
  <w:style w:type="character" w:customStyle="1" w:styleId="CommentTextChar">
    <w:name w:val="Comment Text Char"/>
    <w:basedOn w:val="DefaultParagraphFont"/>
    <w:link w:val="CommentText"/>
    <w:uiPriority w:val="99"/>
    <w:rsid w:val="00065B41"/>
    <w:rPr>
      <w:sz w:val="20"/>
      <w:szCs w:val="20"/>
    </w:rPr>
  </w:style>
  <w:style w:type="paragraph" w:styleId="CommentSubject">
    <w:name w:val="annotation subject"/>
    <w:basedOn w:val="CommentText"/>
    <w:next w:val="CommentText"/>
    <w:link w:val="CommentSubjectChar"/>
    <w:uiPriority w:val="99"/>
    <w:semiHidden/>
    <w:unhideWhenUsed/>
    <w:rsid w:val="00065B41"/>
    <w:rPr>
      <w:b/>
      <w:bCs/>
    </w:rPr>
  </w:style>
  <w:style w:type="character" w:customStyle="1" w:styleId="CommentSubjectChar">
    <w:name w:val="Comment Subject Char"/>
    <w:basedOn w:val="CommentTextChar"/>
    <w:link w:val="CommentSubject"/>
    <w:uiPriority w:val="99"/>
    <w:semiHidden/>
    <w:rsid w:val="00065B41"/>
    <w:rPr>
      <w:b/>
      <w:bCs/>
      <w:sz w:val="20"/>
      <w:szCs w:val="20"/>
    </w:rPr>
  </w:style>
  <w:style w:type="paragraph" w:styleId="TOC3">
    <w:name w:val="toc 3"/>
    <w:basedOn w:val="Normal"/>
    <w:next w:val="Normal"/>
    <w:autoRedefine/>
    <w:uiPriority w:val="39"/>
    <w:unhideWhenUsed/>
    <w:rsid w:val="00372557"/>
    <w:pPr>
      <w:spacing w:after="100"/>
      <w:ind w:left="480"/>
    </w:pPr>
  </w:style>
  <w:style w:type="paragraph" w:styleId="Revision">
    <w:name w:val="Revision"/>
    <w:hidden/>
    <w:uiPriority w:val="99"/>
    <w:semiHidden/>
    <w:rsid w:val="00B623C0"/>
    <w:pPr>
      <w:spacing w:after="0" w:line="240" w:lineRule="auto"/>
    </w:pPr>
    <w:rPr>
      <w:sz w:val="24"/>
    </w:rPr>
  </w:style>
  <w:style w:type="character" w:styleId="UnresolvedMention">
    <w:name w:val="Unresolved Mention"/>
    <w:basedOn w:val="DefaultParagraphFont"/>
    <w:uiPriority w:val="99"/>
    <w:semiHidden/>
    <w:unhideWhenUsed/>
    <w:rsid w:val="00750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200422">
      <w:bodyDiv w:val="1"/>
      <w:marLeft w:val="0"/>
      <w:marRight w:val="0"/>
      <w:marTop w:val="0"/>
      <w:marBottom w:val="0"/>
      <w:divBdr>
        <w:top w:val="none" w:sz="0" w:space="0" w:color="auto"/>
        <w:left w:val="none" w:sz="0" w:space="0" w:color="auto"/>
        <w:bottom w:val="none" w:sz="0" w:space="0" w:color="auto"/>
        <w:right w:val="none" w:sz="0" w:space="0" w:color="auto"/>
      </w:divBdr>
    </w:div>
    <w:div w:id="1906331865">
      <w:bodyDiv w:val="1"/>
      <w:marLeft w:val="0"/>
      <w:marRight w:val="0"/>
      <w:marTop w:val="0"/>
      <w:marBottom w:val="0"/>
      <w:divBdr>
        <w:top w:val="none" w:sz="0" w:space="0" w:color="auto"/>
        <w:left w:val="none" w:sz="0" w:space="0" w:color="auto"/>
        <w:bottom w:val="none" w:sz="0" w:space="0" w:color="auto"/>
        <w:right w:val="none" w:sz="0" w:space="0" w:color="auto"/>
      </w:divBdr>
      <w:divsChild>
        <w:div w:id="270016330">
          <w:marLeft w:val="547"/>
          <w:marRight w:val="0"/>
          <w:marTop w:val="58"/>
          <w:marBottom w:val="120"/>
          <w:divBdr>
            <w:top w:val="none" w:sz="0" w:space="0" w:color="auto"/>
            <w:left w:val="none" w:sz="0" w:space="0" w:color="auto"/>
            <w:bottom w:val="none" w:sz="0" w:space="0" w:color="auto"/>
            <w:right w:val="none" w:sz="0" w:space="0" w:color="auto"/>
          </w:divBdr>
        </w:div>
        <w:div w:id="785348476">
          <w:marLeft w:val="1166"/>
          <w:marRight w:val="0"/>
          <w:marTop w:val="58"/>
          <w:marBottom w:val="120"/>
          <w:divBdr>
            <w:top w:val="none" w:sz="0" w:space="0" w:color="auto"/>
            <w:left w:val="none" w:sz="0" w:space="0" w:color="auto"/>
            <w:bottom w:val="none" w:sz="0" w:space="0" w:color="auto"/>
            <w:right w:val="none" w:sz="0" w:space="0" w:color="auto"/>
          </w:divBdr>
        </w:div>
        <w:div w:id="2005429469">
          <w:marLeft w:val="1166"/>
          <w:marRight w:val="0"/>
          <w:marTop w:val="58"/>
          <w:marBottom w:val="120"/>
          <w:divBdr>
            <w:top w:val="none" w:sz="0" w:space="0" w:color="auto"/>
            <w:left w:val="none" w:sz="0" w:space="0" w:color="auto"/>
            <w:bottom w:val="none" w:sz="0" w:space="0" w:color="auto"/>
            <w:right w:val="none" w:sz="0" w:space="0" w:color="auto"/>
          </w:divBdr>
        </w:div>
        <w:div w:id="705714554">
          <w:marLeft w:val="1166"/>
          <w:marRight w:val="0"/>
          <w:marTop w:val="58"/>
          <w:marBottom w:val="120"/>
          <w:divBdr>
            <w:top w:val="none" w:sz="0" w:space="0" w:color="auto"/>
            <w:left w:val="none" w:sz="0" w:space="0" w:color="auto"/>
            <w:bottom w:val="none" w:sz="0" w:space="0" w:color="auto"/>
            <w:right w:val="none" w:sz="0" w:space="0" w:color="auto"/>
          </w:divBdr>
        </w:div>
        <w:div w:id="310333942">
          <w:marLeft w:val="1166"/>
          <w:marRight w:val="0"/>
          <w:marTop w:val="58"/>
          <w:marBottom w:val="120"/>
          <w:divBdr>
            <w:top w:val="none" w:sz="0" w:space="0" w:color="auto"/>
            <w:left w:val="none" w:sz="0" w:space="0" w:color="auto"/>
            <w:bottom w:val="none" w:sz="0" w:space="0" w:color="auto"/>
            <w:right w:val="none" w:sz="0" w:space="0" w:color="auto"/>
          </w:divBdr>
        </w:div>
        <w:div w:id="470556864">
          <w:marLeft w:val="1166"/>
          <w:marRight w:val="0"/>
          <w:marTop w:val="58"/>
          <w:marBottom w:val="120"/>
          <w:divBdr>
            <w:top w:val="none" w:sz="0" w:space="0" w:color="auto"/>
            <w:left w:val="none" w:sz="0" w:space="0" w:color="auto"/>
            <w:bottom w:val="none" w:sz="0" w:space="0" w:color="auto"/>
            <w:right w:val="none" w:sz="0" w:space="0" w:color="auto"/>
          </w:divBdr>
        </w:div>
        <w:div w:id="355161927">
          <w:marLeft w:val="1166"/>
          <w:marRight w:val="0"/>
          <w:marTop w:val="58"/>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italHealthSecretariat@ontario.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gitalHealthSecretariat@ontario.ca" TargetMode="External"/><Relationship Id="rId4" Type="http://schemas.openxmlformats.org/officeDocument/2006/relationships/settings" Target="settings.xml"/><Relationship Id="rId9" Type="http://schemas.openxmlformats.org/officeDocument/2006/relationships/hyperlink" Target="mailto:DigitalHealthSecretariat@ontario.c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ntario.ca/laws/statute/04p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8A224-7C13-44E1-9DCF-F6B36B7A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4577</Words>
  <Characters>26093</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Bandali, Jameel (MOHLTC)</dc:creator>
  <cp:keywords/>
  <dc:description/>
  <cp:lastModifiedBy>Wilton, Leanne (MOHLTC)</cp:lastModifiedBy>
  <cp:revision>2</cp:revision>
  <cp:lastPrinted>2019-06-24T15:26:00Z</cp:lastPrinted>
  <dcterms:created xsi:type="dcterms:W3CDTF">2019-07-09T13:51:00Z</dcterms:created>
  <dcterms:modified xsi:type="dcterms:W3CDTF">2019-07-09T13:51:00Z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Krystal.Amorali@ontario.ca</vt:lpwstr>
  </property>
  <property fmtid="{D5CDD505-2E9C-101B-9397-08002B2CF9AE}" pid="5" name="MSIP_Label_034a106e-6316-442c-ad35-738afd673d2b_SetDate">
    <vt:lpwstr>2019-06-06T18:34:25.7390475Z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