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B44E6" w14:textId="457F2E36" w:rsidR="00A53307" w:rsidRDefault="0005606C" w:rsidP="0005606C">
      <w:pPr>
        <w:jc w:val="center"/>
        <w:rPr>
          <w:b/>
          <w:sz w:val="36"/>
          <w:szCs w:val="36"/>
        </w:rPr>
      </w:pPr>
      <w:r w:rsidRPr="0005606C">
        <w:rPr>
          <w:b/>
          <w:sz w:val="36"/>
          <w:szCs w:val="36"/>
        </w:rPr>
        <w:t>Questions and Answers on Ontario Health Teams</w:t>
      </w:r>
    </w:p>
    <w:tbl>
      <w:tblPr>
        <w:tblStyle w:val="TableGrid"/>
        <w:tblW w:w="13135" w:type="dxa"/>
        <w:tblLook w:val="04A0" w:firstRow="1" w:lastRow="0" w:firstColumn="1" w:lastColumn="0" w:noHBand="0" w:noVBand="1"/>
      </w:tblPr>
      <w:tblGrid>
        <w:gridCol w:w="6025"/>
        <w:gridCol w:w="7110"/>
      </w:tblGrid>
      <w:tr w:rsidR="0005606C" w:rsidRPr="0005606C" w14:paraId="4AFB099E" w14:textId="77777777" w:rsidTr="00AD22D6">
        <w:tc>
          <w:tcPr>
            <w:tcW w:w="6025" w:type="dxa"/>
            <w:shd w:val="clear" w:color="auto" w:fill="C00000"/>
          </w:tcPr>
          <w:p w14:paraId="69C2A904" w14:textId="6DD00A63" w:rsidR="0005606C" w:rsidRPr="0005606C" w:rsidRDefault="0005606C" w:rsidP="0005606C">
            <w:pPr>
              <w:jc w:val="center"/>
              <w:rPr>
                <w:b/>
                <w:color w:val="FFFFFF" w:themeColor="background1"/>
                <w:sz w:val="24"/>
                <w:szCs w:val="24"/>
              </w:rPr>
            </w:pPr>
            <w:r w:rsidRPr="0005606C">
              <w:rPr>
                <w:b/>
                <w:color w:val="FFFFFF" w:themeColor="background1"/>
                <w:sz w:val="24"/>
                <w:szCs w:val="24"/>
              </w:rPr>
              <w:t>Question</w:t>
            </w:r>
          </w:p>
        </w:tc>
        <w:tc>
          <w:tcPr>
            <w:tcW w:w="7110" w:type="dxa"/>
            <w:shd w:val="clear" w:color="auto" w:fill="C00000"/>
          </w:tcPr>
          <w:p w14:paraId="6BDAFBCE" w14:textId="110D8B9B" w:rsidR="0005606C" w:rsidRPr="0005606C" w:rsidRDefault="0005606C" w:rsidP="0005606C">
            <w:pPr>
              <w:jc w:val="center"/>
              <w:rPr>
                <w:b/>
                <w:color w:val="FFFFFF" w:themeColor="background1"/>
                <w:sz w:val="24"/>
                <w:szCs w:val="24"/>
              </w:rPr>
            </w:pPr>
            <w:r w:rsidRPr="0005606C">
              <w:rPr>
                <w:b/>
                <w:color w:val="FFFFFF" w:themeColor="background1"/>
                <w:sz w:val="24"/>
                <w:szCs w:val="24"/>
              </w:rPr>
              <w:t>Answer</w:t>
            </w:r>
          </w:p>
        </w:tc>
      </w:tr>
      <w:tr w:rsidR="0005606C" w:rsidRPr="00AD22D6" w14:paraId="37B3D5D5" w14:textId="77777777" w:rsidTr="00AD22D6">
        <w:tc>
          <w:tcPr>
            <w:tcW w:w="6025" w:type="dxa"/>
            <w:vAlign w:val="bottom"/>
          </w:tcPr>
          <w:p w14:paraId="1BACCEF0" w14:textId="31160BD6" w:rsidR="0005606C" w:rsidRPr="00853B7A" w:rsidRDefault="0005606C" w:rsidP="00853B7A">
            <w:pPr>
              <w:pStyle w:val="ListParagraph"/>
              <w:numPr>
                <w:ilvl w:val="0"/>
                <w:numId w:val="1"/>
              </w:numPr>
              <w:rPr>
                <w:rFonts w:cstheme="minorHAnsi"/>
                <w:sz w:val="20"/>
                <w:szCs w:val="20"/>
              </w:rPr>
            </w:pPr>
            <w:r w:rsidRPr="00853B7A">
              <w:rPr>
                <w:rFonts w:cstheme="minorHAnsi"/>
                <w:sz w:val="20"/>
                <w:szCs w:val="20"/>
              </w:rPr>
              <w:t xml:space="preserve">For those FHTs who receive funding directly from the MOHLTC, </w:t>
            </w:r>
            <w:r w:rsidR="005E4B9B" w:rsidRPr="00853B7A">
              <w:rPr>
                <w:rFonts w:cstheme="minorHAnsi"/>
                <w:sz w:val="20"/>
                <w:szCs w:val="20"/>
              </w:rPr>
              <w:t xml:space="preserve">will they </w:t>
            </w:r>
            <w:r w:rsidRPr="00853B7A">
              <w:rPr>
                <w:rFonts w:cstheme="minorHAnsi"/>
                <w:sz w:val="20"/>
                <w:szCs w:val="20"/>
              </w:rPr>
              <w:t>continue in the short term to receiv</w:t>
            </w:r>
            <w:r w:rsidR="00C74902" w:rsidRPr="00853B7A">
              <w:rPr>
                <w:rFonts w:cstheme="minorHAnsi"/>
                <w:sz w:val="20"/>
                <w:szCs w:val="20"/>
              </w:rPr>
              <w:t>e</w:t>
            </w:r>
            <w:r w:rsidRPr="00853B7A">
              <w:rPr>
                <w:rFonts w:cstheme="minorHAnsi"/>
                <w:sz w:val="20"/>
                <w:szCs w:val="20"/>
              </w:rPr>
              <w:t xml:space="preserve"> funding from MOHLTC? FHTs are often identified as not being an HSP</w:t>
            </w:r>
            <w:r w:rsidR="00853B7A">
              <w:rPr>
                <w:rFonts w:cstheme="minorHAnsi"/>
                <w:sz w:val="20"/>
                <w:szCs w:val="20"/>
              </w:rPr>
              <w:t>.</w:t>
            </w:r>
          </w:p>
        </w:tc>
        <w:tc>
          <w:tcPr>
            <w:tcW w:w="7110" w:type="dxa"/>
            <w:vAlign w:val="bottom"/>
          </w:tcPr>
          <w:p w14:paraId="4F8B8D2D" w14:textId="35D0CFE8" w:rsidR="0005606C" w:rsidRPr="00AD22D6" w:rsidRDefault="0005606C" w:rsidP="0005606C">
            <w:pPr>
              <w:rPr>
                <w:rFonts w:cstheme="minorHAnsi"/>
                <w:sz w:val="20"/>
                <w:szCs w:val="20"/>
              </w:rPr>
            </w:pPr>
            <w:r w:rsidRPr="00AD22D6">
              <w:rPr>
                <w:rFonts w:cstheme="minorHAnsi"/>
                <w:sz w:val="20"/>
                <w:szCs w:val="20"/>
              </w:rPr>
              <w:t>FHTs and NPLCs will continue to receive funding from the Ministry (status quo)</w:t>
            </w:r>
            <w:r w:rsidR="00853B7A">
              <w:rPr>
                <w:rFonts w:cstheme="minorHAnsi"/>
                <w:sz w:val="20"/>
                <w:szCs w:val="20"/>
              </w:rPr>
              <w:t>,</w:t>
            </w:r>
            <w:r w:rsidRPr="00AD22D6">
              <w:rPr>
                <w:rFonts w:cstheme="minorHAnsi"/>
                <w:sz w:val="20"/>
                <w:szCs w:val="20"/>
              </w:rPr>
              <w:t xml:space="preserve"> but anticipate at some point there </w:t>
            </w:r>
            <w:r w:rsidRPr="00C74902">
              <w:rPr>
                <w:rFonts w:cstheme="minorHAnsi"/>
                <w:b/>
                <w:sz w:val="20"/>
                <w:szCs w:val="20"/>
                <w:u w:val="single"/>
              </w:rPr>
              <w:t>may</w:t>
            </w:r>
            <w:r w:rsidRPr="00AD22D6">
              <w:rPr>
                <w:rFonts w:cstheme="minorHAnsi"/>
                <w:sz w:val="20"/>
                <w:szCs w:val="20"/>
              </w:rPr>
              <w:t xml:space="preserve"> be a transfer of the contracts to Ontario Health </w:t>
            </w:r>
          </w:p>
        </w:tc>
      </w:tr>
      <w:tr w:rsidR="0005606C" w:rsidRPr="00AD22D6" w14:paraId="5F293E1C" w14:textId="77777777" w:rsidTr="00AD22D6">
        <w:tc>
          <w:tcPr>
            <w:tcW w:w="6025" w:type="dxa"/>
          </w:tcPr>
          <w:p w14:paraId="091F2818" w14:textId="5935B053" w:rsidR="0005606C" w:rsidRPr="00853B7A" w:rsidRDefault="0005606C" w:rsidP="00853B7A">
            <w:pPr>
              <w:pStyle w:val="ListParagraph"/>
              <w:numPr>
                <w:ilvl w:val="0"/>
                <w:numId w:val="1"/>
              </w:numPr>
              <w:rPr>
                <w:sz w:val="20"/>
                <w:szCs w:val="20"/>
              </w:rPr>
            </w:pPr>
            <w:r w:rsidRPr="00853B7A">
              <w:rPr>
                <w:sz w:val="20"/>
                <w:szCs w:val="20"/>
              </w:rPr>
              <w:t xml:space="preserve">Should various FHTs and organizations come together and then approach a local hospital or individually speak with hospital management </w:t>
            </w:r>
            <w:r w:rsidR="00853B7A">
              <w:rPr>
                <w:sz w:val="20"/>
                <w:szCs w:val="20"/>
              </w:rPr>
              <w:t>to</w:t>
            </w:r>
            <w:r w:rsidRPr="00853B7A">
              <w:rPr>
                <w:sz w:val="20"/>
                <w:szCs w:val="20"/>
              </w:rPr>
              <w:t xml:space="preserve"> see what they're looking for in connecting with a possible OHT?</w:t>
            </w:r>
          </w:p>
        </w:tc>
        <w:tc>
          <w:tcPr>
            <w:tcW w:w="7110" w:type="dxa"/>
          </w:tcPr>
          <w:p w14:paraId="0B51E0C9" w14:textId="23D0F73F" w:rsidR="0005606C" w:rsidRPr="00AD22D6" w:rsidRDefault="0005606C" w:rsidP="0005606C">
            <w:pPr>
              <w:rPr>
                <w:sz w:val="20"/>
                <w:szCs w:val="20"/>
              </w:rPr>
            </w:pPr>
            <w:r w:rsidRPr="00AD22D6">
              <w:rPr>
                <w:sz w:val="20"/>
                <w:szCs w:val="20"/>
              </w:rPr>
              <w:t xml:space="preserve">You should be working with partners that you believe will provide the best possible transitions of care for your patients – that may or may not include the hospital. Ideally, you want this to be primary care led so you don’t need ‘guidance’ or ‘position’ from the hospital to approach your partners. </w:t>
            </w:r>
          </w:p>
        </w:tc>
      </w:tr>
      <w:tr w:rsidR="0005606C" w:rsidRPr="00AD22D6" w14:paraId="734FFF82" w14:textId="77777777" w:rsidTr="00AD22D6">
        <w:tc>
          <w:tcPr>
            <w:tcW w:w="6025" w:type="dxa"/>
          </w:tcPr>
          <w:p w14:paraId="4C408FC3" w14:textId="75B78AC0" w:rsidR="0005606C" w:rsidRPr="00853B7A" w:rsidRDefault="00257D8F" w:rsidP="00853B7A">
            <w:pPr>
              <w:pStyle w:val="ListParagraph"/>
              <w:numPr>
                <w:ilvl w:val="0"/>
                <w:numId w:val="1"/>
              </w:numPr>
              <w:rPr>
                <w:rFonts w:cstheme="minorHAnsi"/>
                <w:sz w:val="20"/>
                <w:szCs w:val="20"/>
              </w:rPr>
            </w:pPr>
            <w:r w:rsidRPr="00853B7A">
              <w:rPr>
                <w:rFonts w:cstheme="minorHAnsi"/>
                <w:sz w:val="20"/>
                <w:szCs w:val="20"/>
              </w:rPr>
              <w:t>Being from a small rural community, what if we don't meet the population number criteria? (50,000 to 500,000) But have been doing great integration work with our partners for years? Where does that leave us?</w:t>
            </w:r>
          </w:p>
        </w:tc>
        <w:tc>
          <w:tcPr>
            <w:tcW w:w="7110" w:type="dxa"/>
          </w:tcPr>
          <w:p w14:paraId="63D812A4" w14:textId="7BBA45FA" w:rsidR="0005606C" w:rsidRPr="00AD22D6" w:rsidRDefault="00257D8F" w:rsidP="0005606C">
            <w:pPr>
              <w:rPr>
                <w:rFonts w:cstheme="minorHAnsi"/>
                <w:sz w:val="20"/>
                <w:szCs w:val="20"/>
              </w:rPr>
            </w:pPr>
            <w:r w:rsidRPr="00AD22D6">
              <w:rPr>
                <w:rFonts w:cstheme="minorHAnsi"/>
                <w:sz w:val="20"/>
                <w:szCs w:val="20"/>
              </w:rPr>
              <w:t>Think about how you can work in collaboration with your neighbouring communities using virtual means. Integration can also mean back office support as well as some alignment with services, programs etc.</w:t>
            </w:r>
          </w:p>
        </w:tc>
      </w:tr>
      <w:tr w:rsidR="00257D8F" w:rsidRPr="00AD22D6" w14:paraId="65713E54" w14:textId="77777777" w:rsidTr="00AD22D6">
        <w:tc>
          <w:tcPr>
            <w:tcW w:w="6025" w:type="dxa"/>
            <w:vAlign w:val="bottom"/>
          </w:tcPr>
          <w:p w14:paraId="5F0A0793" w14:textId="7D068F9D" w:rsidR="00257D8F" w:rsidRPr="00853B7A" w:rsidRDefault="00257D8F" w:rsidP="00853B7A">
            <w:pPr>
              <w:pStyle w:val="ListParagraph"/>
              <w:numPr>
                <w:ilvl w:val="0"/>
                <w:numId w:val="1"/>
              </w:numPr>
              <w:rPr>
                <w:rFonts w:cstheme="minorHAnsi"/>
                <w:sz w:val="20"/>
                <w:szCs w:val="20"/>
              </w:rPr>
            </w:pPr>
            <w:r w:rsidRPr="00853B7A">
              <w:rPr>
                <w:rFonts w:cstheme="minorHAnsi"/>
                <w:sz w:val="20"/>
                <w:szCs w:val="20"/>
              </w:rPr>
              <w:t xml:space="preserve">Will MD with RNPGA contract with ministry be included in HSPs </w:t>
            </w:r>
          </w:p>
        </w:tc>
        <w:tc>
          <w:tcPr>
            <w:tcW w:w="7110" w:type="dxa"/>
            <w:vAlign w:val="bottom"/>
          </w:tcPr>
          <w:p w14:paraId="1ED17B3B" w14:textId="1350F082" w:rsidR="00257D8F" w:rsidRPr="00AD22D6" w:rsidRDefault="00257D8F" w:rsidP="00257D8F">
            <w:pPr>
              <w:rPr>
                <w:rFonts w:cstheme="minorHAnsi"/>
                <w:sz w:val="20"/>
                <w:szCs w:val="20"/>
              </w:rPr>
            </w:pPr>
            <w:r w:rsidRPr="00AD22D6">
              <w:rPr>
                <w:rFonts w:cstheme="minorHAnsi"/>
                <w:sz w:val="20"/>
                <w:szCs w:val="20"/>
              </w:rPr>
              <w:t>PEM contracts like RNPGA are not specifically outlined as an HSP</w:t>
            </w:r>
            <w:r w:rsidR="00C74902">
              <w:rPr>
                <w:rFonts w:cstheme="minorHAnsi"/>
                <w:sz w:val="20"/>
                <w:szCs w:val="20"/>
              </w:rPr>
              <w:t>,</w:t>
            </w:r>
            <w:r w:rsidRPr="00AD22D6">
              <w:rPr>
                <w:rFonts w:cstheme="minorHAnsi"/>
                <w:sz w:val="20"/>
                <w:szCs w:val="20"/>
              </w:rPr>
              <w:t xml:space="preserve"> but like mentioned, they can be included through regulation</w:t>
            </w:r>
            <w:r w:rsidR="00C74902">
              <w:rPr>
                <w:rFonts w:cstheme="minorHAnsi"/>
                <w:sz w:val="20"/>
                <w:szCs w:val="20"/>
              </w:rPr>
              <w:t>. T</w:t>
            </w:r>
            <w:r w:rsidRPr="00AD22D6">
              <w:rPr>
                <w:rFonts w:cstheme="minorHAnsi"/>
                <w:sz w:val="20"/>
                <w:szCs w:val="20"/>
              </w:rPr>
              <w:t xml:space="preserve">his </w:t>
            </w:r>
            <w:r w:rsidR="00AD22D6" w:rsidRPr="00AD22D6">
              <w:rPr>
                <w:rFonts w:cstheme="minorHAnsi"/>
                <w:sz w:val="20"/>
                <w:szCs w:val="20"/>
              </w:rPr>
              <w:t>would</w:t>
            </w:r>
            <w:r w:rsidR="00853B7A" w:rsidRPr="00AD22D6">
              <w:rPr>
                <w:rFonts w:cstheme="minorHAnsi"/>
                <w:sz w:val="20"/>
                <w:szCs w:val="20"/>
              </w:rPr>
              <w:t xml:space="preserve"> </w:t>
            </w:r>
            <w:r w:rsidR="00853B7A" w:rsidRPr="00AD22D6">
              <w:rPr>
                <w:rFonts w:cstheme="minorHAnsi"/>
                <w:sz w:val="20"/>
                <w:szCs w:val="20"/>
              </w:rPr>
              <w:t>presumably</w:t>
            </w:r>
            <w:r w:rsidRPr="00AD22D6">
              <w:rPr>
                <w:rFonts w:cstheme="minorHAnsi"/>
                <w:sz w:val="20"/>
                <w:szCs w:val="20"/>
              </w:rPr>
              <w:t xml:space="preserve"> require OMA consultation</w:t>
            </w:r>
            <w:r w:rsidR="00853B7A">
              <w:rPr>
                <w:rFonts w:cstheme="minorHAnsi"/>
                <w:sz w:val="20"/>
                <w:szCs w:val="20"/>
              </w:rPr>
              <w:t>.</w:t>
            </w:r>
          </w:p>
        </w:tc>
      </w:tr>
      <w:tr w:rsidR="00257D8F" w:rsidRPr="00AD22D6" w14:paraId="3042E11E" w14:textId="77777777" w:rsidTr="00AD22D6">
        <w:tc>
          <w:tcPr>
            <w:tcW w:w="6025" w:type="dxa"/>
            <w:vAlign w:val="bottom"/>
          </w:tcPr>
          <w:p w14:paraId="447109B0" w14:textId="0F69026F" w:rsidR="00257D8F" w:rsidRPr="00853B7A" w:rsidRDefault="00257D8F" w:rsidP="00853B7A">
            <w:pPr>
              <w:pStyle w:val="ListParagraph"/>
              <w:numPr>
                <w:ilvl w:val="0"/>
                <w:numId w:val="1"/>
              </w:numPr>
              <w:rPr>
                <w:rFonts w:cstheme="minorHAnsi"/>
                <w:sz w:val="20"/>
                <w:szCs w:val="20"/>
              </w:rPr>
            </w:pPr>
            <w:r w:rsidRPr="00853B7A">
              <w:rPr>
                <w:rFonts w:cstheme="minorHAnsi"/>
                <w:sz w:val="20"/>
                <w:szCs w:val="20"/>
              </w:rPr>
              <w:t>Is there any more about the MD part? Will they require MDs to become HSPs?</w:t>
            </w:r>
          </w:p>
        </w:tc>
        <w:tc>
          <w:tcPr>
            <w:tcW w:w="7110" w:type="dxa"/>
            <w:vAlign w:val="bottom"/>
          </w:tcPr>
          <w:p w14:paraId="3F8D715D" w14:textId="051AC625" w:rsidR="00257D8F" w:rsidRPr="00AD22D6" w:rsidRDefault="00257D8F" w:rsidP="00257D8F">
            <w:pPr>
              <w:rPr>
                <w:rFonts w:cstheme="minorHAnsi"/>
                <w:sz w:val="20"/>
                <w:szCs w:val="20"/>
              </w:rPr>
            </w:pPr>
            <w:r w:rsidRPr="00AD22D6">
              <w:rPr>
                <w:rFonts w:cstheme="minorHAnsi"/>
                <w:sz w:val="20"/>
                <w:szCs w:val="20"/>
              </w:rPr>
              <w:t xml:space="preserve">Not </w:t>
            </w:r>
            <w:proofErr w:type="gramStart"/>
            <w:r w:rsidRPr="00AD22D6">
              <w:rPr>
                <w:rFonts w:cstheme="minorHAnsi"/>
                <w:sz w:val="20"/>
                <w:szCs w:val="20"/>
              </w:rPr>
              <w:t>at the moment</w:t>
            </w:r>
            <w:proofErr w:type="gramEnd"/>
            <w:r w:rsidR="00853B7A">
              <w:rPr>
                <w:rFonts w:cstheme="minorHAnsi"/>
                <w:sz w:val="20"/>
                <w:szCs w:val="20"/>
              </w:rPr>
              <w:t>. T</w:t>
            </w:r>
            <w:r w:rsidRPr="00AD22D6">
              <w:rPr>
                <w:rFonts w:cstheme="minorHAnsi"/>
                <w:sz w:val="20"/>
                <w:szCs w:val="20"/>
              </w:rPr>
              <w:t>hough physicians are not named as HSPs in the Act</w:t>
            </w:r>
            <w:r w:rsidR="00853B7A">
              <w:rPr>
                <w:rFonts w:cstheme="minorHAnsi"/>
                <w:sz w:val="20"/>
                <w:szCs w:val="20"/>
              </w:rPr>
              <w:t xml:space="preserve">, </w:t>
            </w:r>
            <w:r w:rsidRPr="00AD22D6">
              <w:rPr>
                <w:rFonts w:cstheme="minorHAnsi"/>
                <w:sz w:val="20"/>
                <w:szCs w:val="20"/>
              </w:rPr>
              <w:t xml:space="preserve">they could be part of an OHT and there may be an </w:t>
            </w:r>
            <w:r w:rsidR="00AD22D6" w:rsidRPr="00AD22D6">
              <w:rPr>
                <w:rFonts w:cstheme="minorHAnsi"/>
                <w:sz w:val="20"/>
                <w:szCs w:val="20"/>
              </w:rPr>
              <w:t>opportunity</w:t>
            </w:r>
            <w:r w:rsidRPr="00AD22D6">
              <w:rPr>
                <w:rFonts w:cstheme="minorHAnsi"/>
                <w:sz w:val="20"/>
                <w:szCs w:val="20"/>
              </w:rPr>
              <w:t xml:space="preserve"> to introduce another compensation model for them.</w:t>
            </w:r>
          </w:p>
        </w:tc>
      </w:tr>
      <w:tr w:rsidR="00257D8F" w:rsidRPr="00AD22D6" w14:paraId="32C4491D" w14:textId="77777777" w:rsidTr="00AD22D6">
        <w:tc>
          <w:tcPr>
            <w:tcW w:w="6025" w:type="dxa"/>
            <w:vAlign w:val="bottom"/>
          </w:tcPr>
          <w:p w14:paraId="10C2F7B2" w14:textId="677C9C25" w:rsidR="00257D8F" w:rsidRPr="00853B7A" w:rsidRDefault="00257D8F" w:rsidP="00853B7A">
            <w:pPr>
              <w:pStyle w:val="ListParagraph"/>
              <w:numPr>
                <w:ilvl w:val="0"/>
                <w:numId w:val="1"/>
              </w:numPr>
              <w:rPr>
                <w:rFonts w:cstheme="minorHAnsi"/>
                <w:sz w:val="20"/>
                <w:szCs w:val="20"/>
              </w:rPr>
            </w:pPr>
            <w:r w:rsidRPr="00853B7A">
              <w:rPr>
                <w:rFonts w:cstheme="minorHAnsi"/>
                <w:sz w:val="20"/>
                <w:szCs w:val="20"/>
              </w:rPr>
              <w:t>There has been pushback about CCO</w:t>
            </w:r>
            <w:r w:rsidR="00853B7A">
              <w:rPr>
                <w:rFonts w:cstheme="minorHAnsi"/>
                <w:sz w:val="20"/>
                <w:szCs w:val="20"/>
              </w:rPr>
              <w:t xml:space="preserve"> - </w:t>
            </w:r>
            <w:r w:rsidRPr="00853B7A">
              <w:rPr>
                <w:rFonts w:cstheme="minorHAnsi"/>
                <w:sz w:val="20"/>
                <w:szCs w:val="20"/>
              </w:rPr>
              <w:t>has that landed anywhere?</w:t>
            </w:r>
          </w:p>
        </w:tc>
        <w:tc>
          <w:tcPr>
            <w:tcW w:w="7110" w:type="dxa"/>
            <w:vAlign w:val="bottom"/>
          </w:tcPr>
          <w:p w14:paraId="22A51932" w14:textId="327F27D6" w:rsidR="00257D8F" w:rsidRPr="00AD22D6" w:rsidRDefault="00257D8F" w:rsidP="00257D8F">
            <w:pPr>
              <w:rPr>
                <w:rFonts w:cstheme="minorHAnsi"/>
                <w:sz w:val="20"/>
                <w:szCs w:val="20"/>
              </w:rPr>
            </w:pPr>
            <w:r w:rsidRPr="00AD22D6">
              <w:rPr>
                <w:rFonts w:cstheme="minorHAnsi"/>
                <w:sz w:val="20"/>
                <w:szCs w:val="20"/>
              </w:rPr>
              <w:t xml:space="preserve">They will be part of Ontario Health - </w:t>
            </w:r>
            <w:proofErr w:type="gramStart"/>
            <w:r w:rsidRPr="00AD22D6">
              <w:rPr>
                <w:rFonts w:cstheme="minorHAnsi"/>
                <w:sz w:val="20"/>
                <w:szCs w:val="20"/>
              </w:rPr>
              <w:t>all of</w:t>
            </w:r>
            <w:proofErr w:type="gramEnd"/>
            <w:r w:rsidRPr="00AD22D6">
              <w:rPr>
                <w:rFonts w:cstheme="minorHAnsi"/>
                <w:sz w:val="20"/>
                <w:szCs w:val="20"/>
              </w:rPr>
              <w:t xml:space="preserve"> the Crown Boards, including CCO, were disbanded a few weeks ago. They will be integrated in the larger super agency.</w:t>
            </w:r>
          </w:p>
        </w:tc>
      </w:tr>
      <w:tr w:rsidR="00257D8F" w:rsidRPr="00AD22D6" w14:paraId="6267B4F5" w14:textId="77777777" w:rsidTr="00AD22D6">
        <w:tc>
          <w:tcPr>
            <w:tcW w:w="6025" w:type="dxa"/>
            <w:vAlign w:val="bottom"/>
          </w:tcPr>
          <w:p w14:paraId="25A2C510" w14:textId="09FBEEA5" w:rsidR="00257D8F" w:rsidRPr="00853B7A" w:rsidRDefault="00257D8F" w:rsidP="00853B7A">
            <w:pPr>
              <w:pStyle w:val="ListParagraph"/>
              <w:numPr>
                <w:ilvl w:val="0"/>
                <w:numId w:val="1"/>
              </w:numPr>
              <w:rPr>
                <w:rFonts w:cstheme="minorHAnsi"/>
                <w:sz w:val="20"/>
                <w:szCs w:val="20"/>
              </w:rPr>
            </w:pPr>
            <w:r w:rsidRPr="00853B7A">
              <w:rPr>
                <w:rFonts w:cstheme="minorHAnsi"/>
                <w:sz w:val="20"/>
                <w:szCs w:val="20"/>
              </w:rPr>
              <w:t>Any sense of what will happen with OntarioMD?</w:t>
            </w:r>
          </w:p>
        </w:tc>
        <w:tc>
          <w:tcPr>
            <w:tcW w:w="7110" w:type="dxa"/>
            <w:vAlign w:val="bottom"/>
          </w:tcPr>
          <w:p w14:paraId="706EB6CC" w14:textId="01A7658F" w:rsidR="00257D8F" w:rsidRPr="00AD22D6" w:rsidRDefault="00257D8F" w:rsidP="00257D8F">
            <w:pPr>
              <w:rPr>
                <w:rFonts w:cstheme="minorHAnsi"/>
                <w:sz w:val="20"/>
                <w:szCs w:val="20"/>
              </w:rPr>
            </w:pPr>
            <w:r w:rsidRPr="00AD22D6">
              <w:rPr>
                <w:rFonts w:cstheme="minorHAnsi"/>
                <w:sz w:val="20"/>
                <w:szCs w:val="20"/>
              </w:rPr>
              <w:t xml:space="preserve">OntarioMD is not seen as a corporation of the </w:t>
            </w:r>
            <w:r w:rsidR="00AD22D6" w:rsidRPr="00AD22D6">
              <w:rPr>
                <w:rFonts w:cstheme="minorHAnsi"/>
                <w:sz w:val="20"/>
                <w:szCs w:val="20"/>
              </w:rPr>
              <w:t>Ministry</w:t>
            </w:r>
            <w:r w:rsidRPr="00AD22D6">
              <w:rPr>
                <w:rFonts w:cstheme="minorHAnsi"/>
                <w:sz w:val="20"/>
                <w:szCs w:val="20"/>
              </w:rPr>
              <w:t xml:space="preserve"> (it is a </w:t>
            </w:r>
            <w:r w:rsidR="00AD22D6" w:rsidRPr="00AD22D6">
              <w:rPr>
                <w:rFonts w:cstheme="minorHAnsi"/>
                <w:sz w:val="20"/>
                <w:szCs w:val="20"/>
              </w:rPr>
              <w:t>subsidiary</w:t>
            </w:r>
            <w:r w:rsidRPr="00AD22D6">
              <w:rPr>
                <w:rFonts w:cstheme="minorHAnsi"/>
                <w:sz w:val="20"/>
                <w:szCs w:val="20"/>
              </w:rPr>
              <w:t xml:space="preserve"> of OMA) so not part of the integration efforts</w:t>
            </w:r>
            <w:r w:rsidR="00C74902">
              <w:rPr>
                <w:rFonts w:cstheme="minorHAnsi"/>
                <w:sz w:val="20"/>
                <w:szCs w:val="20"/>
              </w:rPr>
              <w:t xml:space="preserve">. </w:t>
            </w:r>
            <w:r w:rsidRPr="00AD22D6">
              <w:rPr>
                <w:rFonts w:cstheme="minorHAnsi"/>
                <w:sz w:val="20"/>
                <w:szCs w:val="20"/>
              </w:rPr>
              <w:t>OMD received their new funding agreement last week</w:t>
            </w:r>
            <w:r w:rsidR="00C74902">
              <w:rPr>
                <w:rFonts w:cstheme="minorHAnsi"/>
                <w:sz w:val="20"/>
                <w:szCs w:val="20"/>
              </w:rPr>
              <w:t>,</w:t>
            </w:r>
            <w:r w:rsidRPr="00AD22D6">
              <w:rPr>
                <w:rFonts w:cstheme="minorHAnsi"/>
                <w:sz w:val="20"/>
                <w:szCs w:val="20"/>
              </w:rPr>
              <w:t xml:space="preserve"> so presumably they will continue as is but will be asked to look at how to support OHTs</w:t>
            </w:r>
          </w:p>
        </w:tc>
      </w:tr>
      <w:tr w:rsidR="00257D8F" w:rsidRPr="00AD22D6" w14:paraId="10A403A1" w14:textId="77777777" w:rsidTr="00AD22D6">
        <w:tc>
          <w:tcPr>
            <w:tcW w:w="6025" w:type="dxa"/>
          </w:tcPr>
          <w:p w14:paraId="25D200E0" w14:textId="2F7DACB6" w:rsidR="00AD22D6" w:rsidRPr="00853B7A" w:rsidRDefault="00AD22D6" w:rsidP="00853B7A">
            <w:pPr>
              <w:pStyle w:val="ListParagraph"/>
              <w:numPr>
                <w:ilvl w:val="0"/>
                <w:numId w:val="1"/>
              </w:numPr>
              <w:rPr>
                <w:rFonts w:cstheme="minorHAnsi"/>
                <w:sz w:val="20"/>
                <w:szCs w:val="20"/>
              </w:rPr>
            </w:pPr>
            <w:r w:rsidRPr="00853B7A">
              <w:rPr>
                <w:rFonts w:cstheme="minorHAnsi"/>
                <w:sz w:val="20"/>
                <w:szCs w:val="20"/>
              </w:rPr>
              <w:t>Will FHTs be expected to disband?</w:t>
            </w:r>
          </w:p>
          <w:p w14:paraId="3F95F6CB" w14:textId="77777777" w:rsidR="00257D8F" w:rsidRPr="00AD22D6" w:rsidRDefault="00257D8F" w:rsidP="007A135D">
            <w:pPr>
              <w:rPr>
                <w:rFonts w:cstheme="minorHAnsi"/>
                <w:sz w:val="20"/>
                <w:szCs w:val="20"/>
              </w:rPr>
            </w:pPr>
          </w:p>
        </w:tc>
        <w:tc>
          <w:tcPr>
            <w:tcW w:w="7110" w:type="dxa"/>
          </w:tcPr>
          <w:p w14:paraId="772990C6" w14:textId="2220222B" w:rsidR="00257D8F" w:rsidRPr="00AD22D6" w:rsidRDefault="00AD22D6" w:rsidP="007A135D">
            <w:pPr>
              <w:rPr>
                <w:rFonts w:cstheme="minorHAnsi"/>
                <w:sz w:val="20"/>
                <w:szCs w:val="20"/>
              </w:rPr>
            </w:pPr>
            <w:r>
              <w:rPr>
                <w:rFonts w:cstheme="minorHAnsi"/>
                <w:sz w:val="20"/>
                <w:szCs w:val="20"/>
              </w:rPr>
              <w:t>No</w:t>
            </w:r>
            <w:r w:rsidR="00853B7A">
              <w:rPr>
                <w:rFonts w:cstheme="minorHAnsi"/>
                <w:sz w:val="20"/>
                <w:szCs w:val="20"/>
              </w:rPr>
              <w:t>. A</w:t>
            </w:r>
            <w:r>
              <w:rPr>
                <w:rFonts w:cstheme="minorHAnsi"/>
                <w:sz w:val="20"/>
                <w:szCs w:val="20"/>
              </w:rPr>
              <w:t xml:space="preserve">ll funding agreements with the HSPs are intact and there is no move towards disbanding any of the already existing organizations. </w:t>
            </w:r>
          </w:p>
        </w:tc>
      </w:tr>
      <w:tr w:rsidR="00257D8F" w:rsidRPr="00AD22D6" w14:paraId="66777694" w14:textId="77777777" w:rsidTr="00AD22D6">
        <w:tc>
          <w:tcPr>
            <w:tcW w:w="6025" w:type="dxa"/>
          </w:tcPr>
          <w:p w14:paraId="1980879B" w14:textId="037AD56B" w:rsidR="00AD22D6" w:rsidRPr="00853B7A" w:rsidRDefault="00AD22D6" w:rsidP="00853B7A">
            <w:pPr>
              <w:pStyle w:val="ListParagraph"/>
              <w:numPr>
                <w:ilvl w:val="0"/>
                <w:numId w:val="1"/>
              </w:numPr>
              <w:rPr>
                <w:rFonts w:cstheme="minorHAnsi"/>
                <w:sz w:val="20"/>
                <w:szCs w:val="20"/>
              </w:rPr>
            </w:pPr>
            <w:r w:rsidRPr="00853B7A">
              <w:rPr>
                <w:rFonts w:cstheme="minorHAnsi"/>
                <w:sz w:val="20"/>
                <w:szCs w:val="20"/>
              </w:rPr>
              <w:t>There is no mention of "Health Links</w:t>
            </w:r>
            <w:r w:rsidR="00C74902" w:rsidRPr="00853B7A">
              <w:rPr>
                <w:rFonts w:cstheme="minorHAnsi"/>
                <w:sz w:val="20"/>
                <w:szCs w:val="20"/>
              </w:rPr>
              <w:t>.” D</w:t>
            </w:r>
            <w:r w:rsidRPr="00853B7A">
              <w:rPr>
                <w:rFonts w:cstheme="minorHAnsi"/>
                <w:sz w:val="20"/>
                <w:szCs w:val="20"/>
              </w:rPr>
              <w:t>o you know where they will fit in?</w:t>
            </w:r>
          </w:p>
          <w:p w14:paraId="7F2BE92A" w14:textId="77777777" w:rsidR="00257D8F" w:rsidRPr="00AD22D6" w:rsidRDefault="00257D8F" w:rsidP="007A135D">
            <w:pPr>
              <w:rPr>
                <w:rFonts w:cstheme="minorHAnsi"/>
                <w:sz w:val="20"/>
                <w:szCs w:val="20"/>
              </w:rPr>
            </w:pPr>
          </w:p>
        </w:tc>
        <w:tc>
          <w:tcPr>
            <w:tcW w:w="7110" w:type="dxa"/>
          </w:tcPr>
          <w:p w14:paraId="529CDA81" w14:textId="63C72967" w:rsidR="00257D8F" w:rsidRPr="00AD22D6" w:rsidRDefault="00AD22D6" w:rsidP="007A135D">
            <w:pPr>
              <w:rPr>
                <w:rFonts w:cstheme="minorHAnsi"/>
                <w:sz w:val="20"/>
                <w:szCs w:val="20"/>
              </w:rPr>
            </w:pPr>
            <w:r>
              <w:rPr>
                <w:rFonts w:cstheme="minorHAnsi"/>
                <w:sz w:val="20"/>
                <w:szCs w:val="20"/>
              </w:rPr>
              <w:t>They will probably be rolled into the OHTs at some point</w:t>
            </w:r>
            <w:r w:rsidR="00C74902">
              <w:rPr>
                <w:rFonts w:cstheme="minorHAnsi"/>
                <w:sz w:val="20"/>
                <w:szCs w:val="20"/>
              </w:rPr>
              <w:t>,</w:t>
            </w:r>
            <w:r>
              <w:rPr>
                <w:rFonts w:cstheme="minorHAnsi"/>
                <w:sz w:val="20"/>
                <w:szCs w:val="20"/>
              </w:rPr>
              <w:t xml:space="preserve"> but status quo for now</w:t>
            </w:r>
            <w:r w:rsidR="00853B7A">
              <w:rPr>
                <w:rFonts w:cstheme="minorHAnsi"/>
                <w:sz w:val="20"/>
                <w:szCs w:val="20"/>
              </w:rPr>
              <w:t>. F</w:t>
            </w:r>
            <w:r>
              <w:rPr>
                <w:rFonts w:cstheme="minorHAnsi"/>
                <w:sz w:val="20"/>
                <w:szCs w:val="20"/>
              </w:rPr>
              <w:t>unding for them should be available soon</w:t>
            </w:r>
            <w:r w:rsidR="00853B7A">
              <w:rPr>
                <w:rFonts w:cstheme="minorHAnsi"/>
                <w:sz w:val="20"/>
                <w:szCs w:val="20"/>
              </w:rPr>
              <w:t>.</w:t>
            </w:r>
          </w:p>
        </w:tc>
      </w:tr>
      <w:tr w:rsidR="00AD22D6" w:rsidRPr="00AD22D6" w14:paraId="01763A54" w14:textId="77777777" w:rsidTr="00AD22D6">
        <w:tc>
          <w:tcPr>
            <w:tcW w:w="6025" w:type="dxa"/>
            <w:vAlign w:val="bottom"/>
          </w:tcPr>
          <w:p w14:paraId="100D054D" w14:textId="3C0A69F2" w:rsidR="00AD22D6" w:rsidRPr="00853B7A" w:rsidRDefault="00AD22D6" w:rsidP="00853B7A">
            <w:pPr>
              <w:pStyle w:val="ListParagraph"/>
              <w:numPr>
                <w:ilvl w:val="0"/>
                <w:numId w:val="1"/>
              </w:numPr>
              <w:rPr>
                <w:rFonts w:cstheme="minorHAnsi"/>
                <w:sz w:val="20"/>
                <w:szCs w:val="20"/>
              </w:rPr>
            </w:pPr>
            <w:r w:rsidRPr="00853B7A">
              <w:rPr>
                <w:rFonts w:cstheme="minorHAnsi"/>
                <w:sz w:val="20"/>
                <w:szCs w:val="20"/>
              </w:rPr>
              <w:t>Is public health being left alone?</w:t>
            </w:r>
          </w:p>
        </w:tc>
        <w:tc>
          <w:tcPr>
            <w:tcW w:w="7110" w:type="dxa"/>
            <w:vAlign w:val="bottom"/>
          </w:tcPr>
          <w:p w14:paraId="5E912646" w14:textId="33601632" w:rsidR="00C74902" w:rsidRPr="00AD22D6" w:rsidRDefault="00AD22D6" w:rsidP="00AD22D6">
            <w:pPr>
              <w:rPr>
                <w:rFonts w:cstheme="minorHAnsi"/>
                <w:sz w:val="20"/>
                <w:szCs w:val="20"/>
              </w:rPr>
            </w:pPr>
            <w:r>
              <w:rPr>
                <w:rFonts w:cstheme="minorHAnsi"/>
                <w:sz w:val="20"/>
                <w:szCs w:val="20"/>
              </w:rPr>
              <w:t>Y</w:t>
            </w:r>
            <w:r w:rsidRPr="00AD22D6">
              <w:rPr>
                <w:rFonts w:cstheme="minorHAnsi"/>
                <w:sz w:val="20"/>
                <w:szCs w:val="20"/>
              </w:rPr>
              <w:t>es</w:t>
            </w:r>
            <w:r w:rsidR="00853B7A">
              <w:rPr>
                <w:rFonts w:cstheme="minorHAnsi"/>
                <w:sz w:val="20"/>
                <w:szCs w:val="20"/>
              </w:rPr>
              <w:t>, b</w:t>
            </w:r>
            <w:r w:rsidRPr="00AD22D6">
              <w:rPr>
                <w:rFonts w:cstheme="minorHAnsi"/>
                <w:sz w:val="20"/>
                <w:szCs w:val="20"/>
              </w:rPr>
              <w:t>ut the Ministry is keen to include them if possible (just hard to include them as an HSP as they don't solely fund them)</w:t>
            </w:r>
            <w:r w:rsidR="002E49C7">
              <w:rPr>
                <w:rFonts w:cstheme="minorHAnsi"/>
                <w:sz w:val="20"/>
                <w:szCs w:val="20"/>
              </w:rPr>
              <w:t xml:space="preserve">. </w:t>
            </w:r>
            <w:hyperlink r:id="rId8" w:anchor="s-8" w:history="1">
              <w:r w:rsidR="002E49C7" w:rsidRPr="001E54F1">
                <w:rPr>
                  <w:rStyle w:val="Hyperlink"/>
                  <w:rFonts w:cstheme="minorHAnsi"/>
                  <w:sz w:val="20"/>
                  <w:szCs w:val="20"/>
                </w:rPr>
                <w:t xml:space="preserve">However, note the budget will be </w:t>
              </w:r>
              <w:r w:rsidR="001E54F1" w:rsidRPr="001E54F1">
                <w:rPr>
                  <w:rStyle w:val="Hyperlink"/>
                  <w:rFonts w:cstheme="minorHAnsi"/>
                  <w:sz w:val="20"/>
                  <w:szCs w:val="20"/>
                </w:rPr>
                <w:t>changing PHUs from 35 to 10.</w:t>
              </w:r>
            </w:hyperlink>
            <w:bookmarkStart w:id="0" w:name="_GoBack"/>
            <w:bookmarkEnd w:id="0"/>
          </w:p>
        </w:tc>
      </w:tr>
      <w:tr w:rsidR="00AD22D6" w:rsidRPr="00AD22D6" w14:paraId="3D3CF26D" w14:textId="77777777" w:rsidTr="00AD22D6">
        <w:tc>
          <w:tcPr>
            <w:tcW w:w="6025" w:type="dxa"/>
            <w:vAlign w:val="bottom"/>
          </w:tcPr>
          <w:p w14:paraId="2FA85566" w14:textId="520ED061" w:rsidR="00AD22D6" w:rsidRPr="00853B7A" w:rsidRDefault="00AD22D6" w:rsidP="00853B7A">
            <w:pPr>
              <w:pStyle w:val="ListParagraph"/>
              <w:numPr>
                <w:ilvl w:val="0"/>
                <w:numId w:val="1"/>
              </w:numPr>
              <w:rPr>
                <w:rFonts w:cstheme="minorHAnsi"/>
                <w:sz w:val="20"/>
                <w:szCs w:val="20"/>
              </w:rPr>
            </w:pPr>
            <w:r w:rsidRPr="00853B7A">
              <w:rPr>
                <w:rFonts w:cstheme="minorHAnsi"/>
                <w:sz w:val="20"/>
                <w:szCs w:val="20"/>
              </w:rPr>
              <w:t>What if GPs are part of a salaried FHT presently?</w:t>
            </w:r>
          </w:p>
        </w:tc>
        <w:tc>
          <w:tcPr>
            <w:tcW w:w="7110" w:type="dxa"/>
            <w:vAlign w:val="bottom"/>
          </w:tcPr>
          <w:p w14:paraId="67E0FC53" w14:textId="375ECA7D" w:rsidR="00AD22D6" w:rsidRPr="00AD22D6" w:rsidRDefault="00AD22D6" w:rsidP="00AD22D6">
            <w:pPr>
              <w:rPr>
                <w:rFonts w:cstheme="minorHAnsi"/>
                <w:sz w:val="20"/>
                <w:szCs w:val="20"/>
              </w:rPr>
            </w:pPr>
            <w:r>
              <w:rPr>
                <w:rFonts w:cstheme="minorHAnsi"/>
                <w:sz w:val="20"/>
                <w:szCs w:val="20"/>
              </w:rPr>
              <w:t>I</w:t>
            </w:r>
            <w:r w:rsidRPr="00AD22D6">
              <w:rPr>
                <w:rFonts w:cstheme="minorHAnsi"/>
                <w:sz w:val="20"/>
                <w:szCs w:val="20"/>
              </w:rPr>
              <w:t>f the cFHT is interested in joining</w:t>
            </w:r>
            <w:r w:rsidR="00C74902">
              <w:rPr>
                <w:rFonts w:cstheme="minorHAnsi"/>
                <w:sz w:val="20"/>
                <w:szCs w:val="20"/>
              </w:rPr>
              <w:t>,</w:t>
            </w:r>
            <w:r w:rsidRPr="00AD22D6">
              <w:rPr>
                <w:rFonts w:cstheme="minorHAnsi"/>
                <w:sz w:val="20"/>
                <w:szCs w:val="20"/>
              </w:rPr>
              <w:t xml:space="preserve"> that would include the salaried physicians</w:t>
            </w:r>
            <w:r>
              <w:rPr>
                <w:rFonts w:cstheme="minorHAnsi"/>
                <w:sz w:val="20"/>
                <w:szCs w:val="20"/>
              </w:rPr>
              <w:t>.</w:t>
            </w:r>
          </w:p>
        </w:tc>
      </w:tr>
      <w:tr w:rsidR="00257D8F" w:rsidRPr="00AD22D6" w14:paraId="32A9F375" w14:textId="77777777" w:rsidTr="00AD22D6">
        <w:trPr>
          <w:trHeight w:val="1097"/>
        </w:trPr>
        <w:tc>
          <w:tcPr>
            <w:tcW w:w="6025" w:type="dxa"/>
          </w:tcPr>
          <w:p w14:paraId="662D21E7" w14:textId="200380AB" w:rsidR="00257D8F" w:rsidRPr="00853B7A" w:rsidRDefault="00AD22D6" w:rsidP="00853B7A">
            <w:pPr>
              <w:pStyle w:val="ListParagraph"/>
              <w:numPr>
                <w:ilvl w:val="0"/>
                <w:numId w:val="1"/>
              </w:numPr>
              <w:rPr>
                <w:rFonts w:cstheme="minorHAnsi"/>
                <w:sz w:val="20"/>
                <w:szCs w:val="20"/>
              </w:rPr>
            </w:pPr>
            <w:r w:rsidRPr="00853B7A">
              <w:rPr>
                <w:rFonts w:cstheme="minorHAnsi"/>
                <w:sz w:val="20"/>
                <w:szCs w:val="20"/>
              </w:rPr>
              <w:lastRenderedPageBreak/>
              <w:t>Our LHIN subregion office seems to be directing efforts to form an OHT behind the scenes. Given that the LHIN will be transitioning to Ontario Health is it wise to engage with the LHIN or distance from these plans? How will the new govt view LHIN participation in forming an OHT from an optics perspective?</w:t>
            </w:r>
          </w:p>
        </w:tc>
        <w:tc>
          <w:tcPr>
            <w:tcW w:w="7110" w:type="dxa"/>
          </w:tcPr>
          <w:p w14:paraId="6C7A80BE" w14:textId="0B96EEF7" w:rsidR="00257D8F" w:rsidRPr="00AD22D6" w:rsidRDefault="00AD22D6" w:rsidP="00AD22D6">
            <w:pPr>
              <w:rPr>
                <w:rFonts w:cstheme="minorHAnsi"/>
                <w:sz w:val="20"/>
                <w:szCs w:val="20"/>
              </w:rPr>
            </w:pPr>
            <w:r>
              <w:rPr>
                <w:rFonts w:cstheme="minorHAnsi"/>
                <w:sz w:val="20"/>
                <w:szCs w:val="20"/>
              </w:rPr>
              <w:t xml:space="preserve">Ministry and Ontario Health </w:t>
            </w:r>
            <w:r w:rsidR="00C74902">
              <w:rPr>
                <w:rFonts w:cstheme="minorHAnsi"/>
                <w:sz w:val="20"/>
                <w:szCs w:val="20"/>
              </w:rPr>
              <w:t>are</w:t>
            </w:r>
            <w:r>
              <w:rPr>
                <w:rFonts w:cstheme="minorHAnsi"/>
                <w:sz w:val="20"/>
                <w:szCs w:val="20"/>
              </w:rPr>
              <w:t xml:space="preserve"> not taking any direction from the LHINs</w:t>
            </w:r>
            <w:r w:rsidR="00C74902">
              <w:rPr>
                <w:rFonts w:cstheme="minorHAnsi"/>
                <w:sz w:val="20"/>
                <w:szCs w:val="20"/>
              </w:rPr>
              <w:t>,</w:t>
            </w:r>
            <w:r>
              <w:rPr>
                <w:rFonts w:cstheme="minorHAnsi"/>
                <w:sz w:val="20"/>
                <w:szCs w:val="20"/>
              </w:rPr>
              <w:t xml:space="preserve"> so any pressure you are feeling from them </w:t>
            </w:r>
            <w:r w:rsidR="00C74902">
              <w:rPr>
                <w:rFonts w:cstheme="minorHAnsi"/>
                <w:sz w:val="20"/>
                <w:szCs w:val="20"/>
              </w:rPr>
              <w:t>is</w:t>
            </w:r>
            <w:r>
              <w:rPr>
                <w:rFonts w:cstheme="minorHAnsi"/>
                <w:sz w:val="20"/>
                <w:szCs w:val="20"/>
              </w:rPr>
              <w:t xml:space="preserve"> of their own doing</w:t>
            </w:r>
            <w:r w:rsidR="00C74902">
              <w:rPr>
                <w:rFonts w:cstheme="minorHAnsi"/>
                <w:sz w:val="20"/>
                <w:szCs w:val="20"/>
              </w:rPr>
              <w:t>. Y</w:t>
            </w:r>
            <w:r>
              <w:rPr>
                <w:rFonts w:cstheme="minorHAnsi"/>
                <w:sz w:val="20"/>
                <w:szCs w:val="20"/>
              </w:rPr>
              <w:t xml:space="preserve">ou do not need to feel like you need to participate in their activities. </w:t>
            </w:r>
          </w:p>
        </w:tc>
      </w:tr>
      <w:tr w:rsidR="00257D8F" w14:paraId="1F9B1DE7" w14:textId="77777777" w:rsidTr="00AD22D6">
        <w:tc>
          <w:tcPr>
            <w:tcW w:w="6025" w:type="dxa"/>
          </w:tcPr>
          <w:p w14:paraId="3CEDA1DA" w14:textId="77777777" w:rsidR="00257D8F" w:rsidRDefault="00257D8F" w:rsidP="007A135D"/>
        </w:tc>
        <w:tc>
          <w:tcPr>
            <w:tcW w:w="7110" w:type="dxa"/>
          </w:tcPr>
          <w:p w14:paraId="0366F394" w14:textId="77777777" w:rsidR="00257D8F" w:rsidRDefault="00257D8F" w:rsidP="007A135D"/>
        </w:tc>
      </w:tr>
    </w:tbl>
    <w:p w14:paraId="4A6423FA" w14:textId="77777777" w:rsidR="0005606C" w:rsidRPr="0005606C" w:rsidRDefault="0005606C" w:rsidP="0005606C"/>
    <w:sectPr w:rsidR="0005606C" w:rsidRPr="0005606C" w:rsidSect="00AD22D6">
      <w:headerReference w:type="default" r:id="rId9"/>
      <w:footerReference w:type="default" r:id="rId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CC8DC" w14:textId="77777777" w:rsidR="00573826" w:rsidRDefault="00573826" w:rsidP="0005606C">
      <w:pPr>
        <w:spacing w:after="0" w:line="240" w:lineRule="auto"/>
      </w:pPr>
      <w:r>
        <w:separator/>
      </w:r>
    </w:p>
  </w:endnote>
  <w:endnote w:type="continuationSeparator" w:id="0">
    <w:p w14:paraId="35576418" w14:textId="77777777" w:rsidR="00573826" w:rsidRDefault="00573826" w:rsidP="0005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220991"/>
      <w:docPartObj>
        <w:docPartGallery w:val="Page Numbers (Bottom of Page)"/>
        <w:docPartUnique/>
      </w:docPartObj>
    </w:sdtPr>
    <w:sdtEndPr>
      <w:rPr>
        <w:noProof/>
      </w:rPr>
    </w:sdtEndPr>
    <w:sdtContent>
      <w:p w14:paraId="5DFADB65" w14:textId="7E39137F" w:rsidR="00AD22D6" w:rsidRDefault="00AD22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F53970" w14:textId="77777777" w:rsidR="00AD22D6" w:rsidRDefault="00AD2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C6DE2" w14:textId="77777777" w:rsidR="00573826" w:rsidRDefault="00573826" w:rsidP="0005606C">
      <w:pPr>
        <w:spacing w:after="0" w:line="240" w:lineRule="auto"/>
      </w:pPr>
      <w:r>
        <w:separator/>
      </w:r>
    </w:p>
  </w:footnote>
  <w:footnote w:type="continuationSeparator" w:id="0">
    <w:p w14:paraId="00BD5D7D" w14:textId="77777777" w:rsidR="00573826" w:rsidRDefault="00573826" w:rsidP="0005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E1F11" w14:textId="09D6A74C" w:rsidR="0005606C" w:rsidRDefault="0005606C">
    <w:pPr>
      <w:pStyle w:val="Header"/>
    </w:pPr>
    <w:r>
      <w:rPr>
        <w:noProof/>
        <w:lang w:val="en-US"/>
      </w:rPr>
      <w:drawing>
        <wp:anchor distT="0" distB="0" distL="114300" distR="114300" simplePos="0" relativeHeight="251659264" behindDoc="1" locked="0" layoutInCell="1" allowOverlap="1" wp14:anchorId="52FDD6ED" wp14:editId="556A1E5B">
          <wp:simplePos x="0" y="0"/>
          <wp:positionH relativeFrom="margin">
            <wp:align>center</wp:align>
          </wp:positionH>
          <wp:positionV relativeFrom="paragraph">
            <wp:posOffset>-290830</wp:posOffset>
          </wp:positionV>
          <wp:extent cx="4464050" cy="681990"/>
          <wp:effectExtent l="0" t="0" r="0" b="3810"/>
          <wp:wrapTight wrapText="bothSides">
            <wp:wrapPolygon edited="0">
              <wp:start x="0" y="0"/>
              <wp:lineTo x="0" y="21117"/>
              <wp:lineTo x="21477" y="21117"/>
              <wp:lineTo x="21477" y="0"/>
              <wp:lineTo x="0" y="0"/>
            </wp:wrapPolygon>
          </wp:wrapTight>
          <wp:docPr id="1" name="Picture 1" descr="AFHTO_colour full name IDF_PMS_A10-0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HTO_colour full name IDF_PMS_A10-08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64050" cy="681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92F6A"/>
    <w:multiLevelType w:val="hybridMultilevel"/>
    <w:tmpl w:val="D47AD2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6C"/>
    <w:rsid w:val="0005606C"/>
    <w:rsid w:val="000721CD"/>
    <w:rsid w:val="001E54F1"/>
    <w:rsid w:val="00257D8F"/>
    <w:rsid w:val="002E49C7"/>
    <w:rsid w:val="00573826"/>
    <w:rsid w:val="005E4B9B"/>
    <w:rsid w:val="0073108C"/>
    <w:rsid w:val="00853B7A"/>
    <w:rsid w:val="0087222C"/>
    <w:rsid w:val="00A53307"/>
    <w:rsid w:val="00AD22D6"/>
    <w:rsid w:val="00C749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7F16"/>
  <w15:chartTrackingRefBased/>
  <w15:docId w15:val="{5B06152F-C22C-4794-B1DE-E34AFA2C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6C"/>
    <w:rPr>
      <w:rFonts w:ascii="Segoe UI" w:hAnsi="Segoe UI" w:cs="Segoe UI"/>
      <w:sz w:val="18"/>
      <w:szCs w:val="18"/>
    </w:rPr>
  </w:style>
  <w:style w:type="paragraph" w:styleId="Header">
    <w:name w:val="header"/>
    <w:basedOn w:val="Normal"/>
    <w:link w:val="HeaderChar"/>
    <w:uiPriority w:val="99"/>
    <w:unhideWhenUsed/>
    <w:rsid w:val="00056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06C"/>
  </w:style>
  <w:style w:type="paragraph" w:styleId="Footer">
    <w:name w:val="footer"/>
    <w:basedOn w:val="Normal"/>
    <w:link w:val="FooterChar"/>
    <w:uiPriority w:val="99"/>
    <w:unhideWhenUsed/>
    <w:rsid w:val="00056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06C"/>
  </w:style>
  <w:style w:type="paragraph" w:styleId="ListParagraph">
    <w:name w:val="List Paragraph"/>
    <w:basedOn w:val="Normal"/>
    <w:uiPriority w:val="34"/>
    <w:qFormat/>
    <w:rsid w:val="00853B7A"/>
    <w:pPr>
      <w:ind w:left="720"/>
      <w:contextualSpacing/>
    </w:pPr>
  </w:style>
  <w:style w:type="character" w:styleId="Hyperlink">
    <w:name w:val="Hyperlink"/>
    <w:basedOn w:val="DefaultParagraphFont"/>
    <w:uiPriority w:val="99"/>
    <w:unhideWhenUsed/>
    <w:rsid w:val="001E54F1"/>
    <w:rPr>
      <w:color w:val="0563C1" w:themeColor="hyperlink"/>
      <w:u w:val="single"/>
    </w:rPr>
  </w:style>
  <w:style w:type="character" w:styleId="UnresolvedMention">
    <w:name w:val="Unresolved Mention"/>
    <w:basedOn w:val="DefaultParagraphFont"/>
    <w:uiPriority w:val="99"/>
    <w:semiHidden/>
    <w:unhideWhenUsed/>
    <w:rsid w:val="001E5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747295">
      <w:bodyDiv w:val="1"/>
      <w:marLeft w:val="0"/>
      <w:marRight w:val="0"/>
      <w:marTop w:val="0"/>
      <w:marBottom w:val="0"/>
      <w:divBdr>
        <w:top w:val="none" w:sz="0" w:space="0" w:color="auto"/>
        <w:left w:val="none" w:sz="0" w:space="0" w:color="auto"/>
        <w:bottom w:val="none" w:sz="0" w:space="0" w:color="auto"/>
        <w:right w:val="none" w:sz="0" w:space="0" w:color="auto"/>
      </w:divBdr>
    </w:div>
    <w:div w:id="973410250">
      <w:bodyDiv w:val="1"/>
      <w:marLeft w:val="0"/>
      <w:marRight w:val="0"/>
      <w:marTop w:val="0"/>
      <w:marBottom w:val="0"/>
      <w:divBdr>
        <w:top w:val="none" w:sz="0" w:space="0" w:color="auto"/>
        <w:left w:val="none" w:sz="0" w:space="0" w:color="auto"/>
        <w:bottom w:val="none" w:sz="0" w:space="0" w:color="auto"/>
        <w:right w:val="none" w:sz="0" w:space="0" w:color="auto"/>
      </w:divBdr>
    </w:div>
    <w:div w:id="1727947972">
      <w:bodyDiv w:val="1"/>
      <w:marLeft w:val="0"/>
      <w:marRight w:val="0"/>
      <w:marTop w:val="0"/>
      <w:marBottom w:val="0"/>
      <w:divBdr>
        <w:top w:val="none" w:sz="0" w:space="0" w:color="auto"/>
        <w:left w:val="none" w:sz="0" w:space="0" w:color="auto"/>
        <w:bottom w:val="none" w:sz="0" w:space="0" w:color="auto"/>
        <w:right w:val="none" w:sz="0" w:space="0" w:color="auto"/>
      </w:divBdr>
    </w:div>
    <w:div w:id="17890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dget.ontario.ca/2019/chapter-1c.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EF19-9AAE-40E0-AEC5-B1EB0B19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Kavita Mehta</dc:creator>
  <cp:keywords/>
  <dc:description/>
  <cp:lastModifiedBy>Beth MacKinnon</cp:lastModifiedBy>
  <cp:revision>4</cp:revision>
  <dcterms:created xsi:type="dcterms:W3CDTF">2019-04-12T19:06:00Z</dcterms:created>
  <dcterms:modified xsi:type="dcterms:W3CDTF">2019-04-15T13:09:00Z</dcterms:modified>
</cp:coreProperties>
</file>